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202</w:t>
      </w:r>
      <w:r>
        <w:rPr>
          <w:rFonts w:hint="eastAsia"/>
        </w:rPr>
        <w:t>1年度</w:t>
      </w:r>
      <w:r>
        <w:rPr>
          <w:rFonts w:hint="eastAsia"/>
          <w:lang w:eastAsia="zh-CN"/>
        </w:rPr>
        <w:t>冷链保鲜专项</w:t>
      </w:r>
      <w:r>
        <w:rPr>
          <w:rFonts w:hint="eastAsia"/>
        </w:rPr>
        <w:t>绩效</w:t>
      </w:r>
      <w:bookmarkStart w:id="0" w:name="_GoBack"/>
      <w:bookmarkEnd w:id="0"/>
      <w:r>
        <w:rPr>
          <w:rFonts w:hint="eastAsia"/>
        </w:rPr>
        <w:t>报告</w:t>
      </w:r>
    </w:p>
    <w:p>
      <w:pPr>
        <w:spacing w:line="540" w:lineRule="exact"/>
        <w:ind w:firstLine="640"/>
      </w:pPr>
    </w:p>
    <w:p>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一、项目实施情况分析</w:t>
      </w:r>
    </w:p>
    <w:p>
      <w:pPr>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（一）项目资金拨付、到位情况</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根据《2021年农产品产地冷藏保鲜设施建设实施方案的通知》《株洲市渌口区2021年农产品产地冷藏保鲜设施建设项目验收方案》等文件要求，2022年1月17日至19日，由区农业农村局、区财政局、区审计局、纪检人员及冷链建设技术人员组成的联合验收组依据验收原则、验收内容及程序、验收要求、验收主要技术参数及注意事项，对我区2021年农产品产地冷藏保鲜设施建设项目进行验收。经企业申报、验收组验收，对11家建设主体进行了补助，项目资金已全部拨付到位。</w:t>
      </w:r>
    </w:p>
    <w:p>
      <w:pPr>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（二）绩效目标分解下达情况</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根据省市关于做好2021年农产品产地冷藏保鲜设施建设项目视频会议精神，按照自主申报、先建后补的原则，经摸底申报、方案制定、网上申报、公示公告等环节，2021年支持建设主体共计17个，为示范合作社、家庭农场、村集体经济组织，其中龙船镇5个，古岳峰镇2个，龙门镇3个，南洲镇3个，渌口镇3个，龙潭镇1个，上级拟补助资金共计214万元。目前，全区11个农产品产地冷藏保鲜设施建设项目符合要求，其中预冷库1275.85立方米、高温库2437.7立方米、低温库211.8立方米，总库容3925.35立方米。</w:t>
      </w:r>
    </w:p>
    <w:p>
      <w:pPr>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（三）项目组织管理情况分析</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为更好的将农产品产地冷藏保鲜设施建设项目工作落到实处，成立了渌口区农产品产地冷藏保鲜设施建设领导小组，印发了《2021年株洲市渌口区农产品产地冷藏保鲜设施建设实施方案》，建设主体在所在镇进行项目申报，由所在镇政府审核通过后报区农业农村局备案，确定专人在农业农村部农产品仓储保鲜冷链物流信息系统和农业农村部新型农业经营主体信息直报系统开展网上申报，并将建设主体在政府网站进行公示，接收社会各界监督。为保证建设进度和质量，农产品产地冷藏保鲜设施建设领导小组多次召开专门会议，组织各建设主体开展业务交流培训，确保项目建设质量。在项目实施过程中不定期到建设地点督促检查，建立项目建设主体微信群，实行项目建设进度动态督查，建设主体随时以图片形式上报建设进度，督查中及时发现和纠正在施工过程中存在的问题。项目建成后，通过科学规范管理，达到了预期的目的。</w:t>
      </w:r>
    </w:p>
    <w:p>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二、绩效目标完成情况分析</w:t>
      </w:r>
    </w:p>
    <w:p>
      <w:pPr>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（一）资金投入情况分析</w:t>
      </w:r>
    </w:p>
    <w:p>
      <w:pPr>
        <w:spacing w:line="56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1.项目资金执行情况分析</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截止目前，2021年农产品产地冷藏保鲜设施建设项目已完成验收，财政补助资金119.37万元已全部到位，自筹资金已经全部完成投资。</w:t>
      </w:r>
    </w:p>
    <w:p>
      <w:pPr>
        <w:spacing w:line="56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2.项目资金管理情况分析</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2021年全区应开展冷藏保鲜设施建设主体17个，应到位补助资金214万元，因3家申报主体未取得农用地备案手续而无法开展农产品产地冷藏保鲜设施建设，2家合作社申报主体股东内部意见产生分歧，无法开展农产品产地冷藏保鲜设施建设，1家申报主体未按建设标准及要求，不符合验收条件，实际开展冷藏保鲜设施建设主体11个，实际到位119.37万元。</w:t>
      </w:r>
    </w:p>
    <w:p>
      <w:pPr>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（二）总体绩效目标完成情况分析</w:t>
      </w:r>
    </w:p>
    <w:p>
      <w:pPr>
        <w:spacing w:line="560" w:lineRule="exact"/>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rPr>
        <w:t>经摸底申报、方案制定、网上申报、公示公告等环节，2021年开展农产品产地冷藏保鲜设施建设项目实施主体17个，为示范合作社、家庭农场、村集体经济组织，目前该项目全面完成，其中预冷库1275.85立方米、高温库2437.7立方米、低温库211.8立方米，总库容3925.35立方米。全区11个农产品产地冷藏保鲜设施建设项目符合要求，已按照当地产业发展实际相继投入使用，冷库、设备使用状况良好，完全符合项目建设要求，按时完成了项目建设任务。</w:t>
      </w:r>
    </w:p>
    <w:p>
      <w:pPr>
        <w:spacing w:line="560" w:lineRule="exact"/>
        <w:ind w:firstLine="640" w:firstLineChars="200"/>
        <w:rPr>
          <w:rFonts w:hint="eastAsia" w:ascii="楷体" w:hAnsi="楷体" w:eastAsia="楷体" w:cs="楷体"/>
          <w:color w:val="000000"/>
          <w:sz w:val="32"/>
          <w:szCs w:val="32"/>
        </w:rPr>
      </w:pPr>
      <w:r>
        <w:rPr>
          <w:rFonts w:hint="eastAsia" w:ascii="楷体" w:hAnsi="楷体" w:eastAsia="楷体" w:cs="楷体"/>
          <w:color w:val="000000"/>
          <w:sz w:val="32"/>
          <w:szCs w:val="32"/>
        </w:rPr>
        <w:t>（三）绩效指标完成情况分析</w:t>
      </w:r>
    </w:p>
    <w:p>
      <w:pPr>
        <w:spacing w:line="560" w:lineRule="exact"/>
        <w:ind w:firstLine="643" w:firstLineChars="200"/>
        <w:rPr>
          <w:rFonts w:hint="eastAsia" w:ascii="楷体" w:hAnsi="楷体" w:eastAsia="楷体" w:cs="楷体"/>
          <w:b/>
          <w:bCs/>
          <w:color w:val="000000"/>
          <w:sz w:val="32"/>
          <w:szCs w:val="32"/>
        </w:rPr>
      </w:pPr>
      <w:r>
        <w:rPr>
          <w:rFonts w:hint="eastAsia" w:ascii="楷体" w:hAnsi="楷体" w:eastAsia="楷体" w:cs="楷体"/>
          <w:b/>
          <w:bCs/>
          <w:color w:val="000000"/>
          <w:sz w:val="32"/>
          <w:szCs w:val="32"/>
        </w:rPr>
        <w:t>（1）经济效益</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通过该项目的实施，有效降低了农产品产后损失、延长供应周期、促进均衡供应、延伸产业链条助农增收的目的。实现直接带动11村近 3000户群众增收，直接带动果农400余人，人均增收1200元。</w:t>
      </w:r>
    </w:p>
    <w:p>
      <w:pPr>
        <w:spacing w:line="560" w:lineRule="exact"/>
        <w:ind w:firstLine="482" w:firstLineChars="15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（2）社会效益</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通过该项目的实施，带动了周边的农户通过务工、发展产业、参加培训、农产品收购等方式增收，参与果品、蔬菜生产，对于提高农民的生产积极性具有重要作用。</w:t>
      </w:r>
    </w:p>
    <w:p>
      <w:pPr>
        <w:spacing w:line="560" w:lineRule="exact"/>
        <w:ind w:firstLine="482" w:firstLineChars="15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（3）生态效益</w:t>
      </w:r>
    </w:p>
    <w:p>
      <w:pPr>
        <w:spacing w:line="56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通过该项目的实施，带动“株洲王十万黄辣椒”、柑橘等果蔬种植，生态效益显著。其中，渌口区龙船镇河包村股份经济合作社、株洲县信浩富种养殖专业合作社、渌口区龙船镇泉山家庭农场间接带动新增“株洲王十万黄辣椒”种植面积近700亩并稳定增长，生态效益显著。</w:t>
      </w:r>
    </w:p>
    <w:p>
      <w:pPr>
        <w:spacing w:line="560" w:lineRule="exact"/>
        <w:ind w:firstLine="482" w:firstLineChars="15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（4）可持续影响</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从项目的可持续性来看，实施该项目有利于果蔬产业持续壮大发展，2021年建设的11座冷库基本上覆盖了我区蔬菜和果品的主产区，这对于每年提高产品附加值，实现较高价格销售具有十分重要的作用，因此，项目实施的持续性较好。</w:t>
      </w:r>
    </w:p>
    <w:p>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三、偏离绩效目标的原因和下一步改进措施</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2021年全区应开展冷藏保鲜设施建设主体17个，应到位补助资金214万元，因3家申报主体未取得农用地备案手续而无法开展农产品产地冷藏保鲜设施建设，2家合作社申报主体股东内部意见产生分歧，无法开展农产品产地冷藏保鲜设施建设，1家申报主体未按建设标准及要求，不符合验收条件，实际开展冷藏保鲜设施建设主体11个，实际到位119.37万元。</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下一步，我们将严格项目申报、备案，并与建设主体签订项目建设合同，明确建设主体责任，加大项目建设督促力度，确保项目持续发挥效益。</w:t>
      </w:r>
    </w:p>
    <w:p>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四、绩效自评结果拟应用和公开情况</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拟通过绩效自评结果，完善农产品产地冷藏保鲜设施建设主体内部财务制度、加强农产品产地冷藏保鲜设施设备运行安全和农产品质量安全、健全冷链运营运行配套支持政策，有效降低了农产品损耗和物流成本，推动农产品提质增效和农业绿色发展。</w:t>
      </w:r>
    </w:p>
    <w:p>
      <w:pPr>
        <w:numPr>
          <w:ilvl w:val="0"/>
          <w:numId w:val="1"/>
        </w:num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其他需要说明的问题</w:t>
      </w:r>
    </w:p>
    <w:p>
      <w:pPr>
        <w:spacing w:line="56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无其他需要说明的情况。</w:t>
      </w:r>
    </w:p>
    <w:p>
      <w:pPr>
        <w:pStyle w:val="10"/>
        <w:rPr>
          <w:rFonts w:hint="eastAsia" w:ascii="仿宋" w:hAnsi="仿宋" w:eastAsia="仿宋" w:cs="仿宋"/>
          <w:color w:val="000000"/>
          <w:sz w:val="32"/>
          <w:szCs w:val="32"/>
        </w:rPr>
      </w:pPr>
    </w:p>
    <w:p>
      <w:pPr>
        <w:pStyle w:val="3"/>
        <w:spacing w:line="540" w:lineRule="exact"/>
        <w:ind w:firstLine="640"/>
      </w:pPr>
    </w:p>
    <w:sectPr>
      <w:pgSz w:w="11907" w:h="16840"/>
      <w:pgMar w:top="2098" w:right="1474" w:bottom="1985" w:left="1588" w:header="720"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D218D4-E5F8-488F-B43F-396CE5B03A1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224BBF3-0519-44B1-8AED-EE77FB37959B}"/>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4AAB1F5E-8532-4C71-9179-1287CF2FB0C1}"/>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embedRegular r:id="rId4" w:fontKey="{494B2B4C-E68E-4C37-9431-00711956F94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518DDE"/>
    <w:multiLevelType w:val="singleLevel"/>
    <w:tmpl w:val="98518DD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U0OTIzOTQxODdjMmIzYTA3YzZhMjM0YTQzOTc4MTYifQ=="/>
  </w:docVars>
  <w:rsids>
    <w:rsidRoot w:val="0072170A"/>
    <w:rsid w:val="000A1855"/>
    <w:rsid w:val="0013187A"/>
    <w:rsid w:val="0034621C"/>
    <w:rsid w:val="003B03E4"/>
    <w:rsid w:val="00424B90"/>
    <w:rsid w:val="00456BE4"/>
    <w:rsid w:val="0072170A"/>
    <w:rsid w:val="007D679A"/>
    <w:rsid w:val="008137A2"/>
    <w:rsid w:val="009557E2"/>
    <w:rsid w:val="00A26D8C"/>
    <w:rsid w:val="00C204BB"/>
    <w:rsid w:val="00C972A7"/>
    <w:rsid w:val="00E76B7E"/>
    <w:rsid w:val="00EF7629"/>
    <w:rsid w:val="00FC724D"/>
    <w:rsid w:val="27D05A28"/>
    <w:rsid w:val="361E4585"/>
    <w:rsid w:val="3EAB0813"/>
    <w:rsid w:val="3F8C71C6"/>
    <w:rsid w:val="435912C3"/>
    <w:rsid w:val="7E9C1869"/>
    <w:rsid w:val="BBDFD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9"/>
    <w:pPr>
      <w:keepNext/>
      <w:keepLines/>
      <w:spacing w:line="700" w:lineRule="exact"/>
      <w:jc w:val="center"/>
      <w:outlineLvl w:val="0"/>
    </w:pPr>
    <w:rPr>
      <w:rFonts w:eastAsia="方正小标宋简体"/>
      <w:bCs/>
      <w:kern w:val="44"/>
      <w:sz w:val="44"/>
      <w:szCs w:val="44"/>
    </w:rPr>
  </w:style>
  <w:style w:type="paragraph" w:styleId="3">
    <w:name w:val="heading 3"/>
    <w:basedOn w:val="1"/>
    <w:next w:val="1"/>
    <w:qFormat/>
    <w:uiPriority w:val="0"/>
    <w:pPr>
      <w:keepNext/>
      <w:keepLines/>
      <w:outlineLvl w:val="2"/>
    </w:pPr>
    <w:rPr>
      <w:rFonts w:eastAsia="黑体"/>
      <w:bCs/>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rPr>
      <w:szCs w:val="22"/>
    </w:rPr>
  </w:style>
  <w:style w:type="paragraph" w:styleId="5">
    <w:name w:val="footer"/>
    <w:basedOn w:val="1"/>
    <w:qFormat/>
    <w:uiPriority w:val="0"/>
    <w:pPr>
      <w:tabs>
        <w:tab w:val="center" w:pos="4153"/>
        <w:tab w:val="right" w:pos="8306"/>
      </w:tabs>
      <w:snapToGrid w:val="0"/>
      <w:spacing w:line="240" w:lineRule="atLeast"/>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9">
    <w:name w:val="page number"/>
    <w:basedOn w:val="8"/>
    <w:qFormat/>
    <w:uiPriority w:val="0"/>
  </w:style>
  <w:style w:type="paragraph" w:customStyle="1" w:styleId="10">
    <w:name w:val="正文文字"/>
    <w:basedOn w:val="1"/>
    <w:next w:val="1"/>
    <w:qFormat/>
    <w:uiPriority w:val="0"/>
    <w:pPr>
      <w:spacing w:before="100" w:beforeAutospacing="1" w:after="120"/>
    </w:pPr>
    <w:rPr>
      <w:rFonts w:ascii="Times New Roman" w:hAnsi="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2932</Words>
  <Characters>3165</Characters>
  <Lines>25</Lines>
  <Paragraphs>7</Paragraphs>
  <TotalTime>248</TotalTime>
  <ScaleCrop>false</ScaleCrop>
  <LinksUpToDate>false</LinksUpToDate>
  <CharactersWithSpaces>3214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Administrator</cp:lastModifiedBy>
  <dcterms:modified xsi:type="dcterms:W3CDTF">2022-09-01T08:19:48Z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B8E55D8C711749209EB1035A46CB9F31</vt:lpwstr>
  </property>
</Properties>
</file>