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autoSpaceDE w:val="0"/>
        <w:autoSpaceDN w:val="0"/>
        <w:spacing w:line="660" w:lineRule="exact"/>
        <w:jc w:val="center"/>
        <w:rPr>
          <w:rFonts w:hint="eastAsia" w:ascii="方正小标宋简体" w:hAnsi="Times New Roman" w:eastAsia="方正小标宋简体" w:cs="Times New Roman"/>
          <w:bCs/>
          <w:sz w:val="44"/>
          <w:szCs w:val="44"/>
          <w:lang w:val="en-US"/>
        </w:rPr>
      </w:pPr>
      <w:r>
        <w:rPr>
          <w:rFonts w:hint="eastAsia" w:ascii="方正小标宋简体" w:hAnsi="Times New Roman" w:eastAsia="方正小标宋简体" w:cs="Times New Roman"/>
          <w:bCs/>
          <w:w w:val="95"/>
          <w:sz w:val="44"/>
          <w:szCs w:val="44"/>
          <w:lang w:eastAsia="zh-CN"/>
        </w:rPr>
        <w:t>支出绩效自评报告</w:t>
      </w:r>
    </w:p>
    <w:p>
      <w:pPr>
        <w:pStyle w:val="10"/>
        <w:widowControl/>
        <w:spacing w:line="600" w:lineRule="exact"/>
        <w:ind w:left="0" w:firstLine="0"/>
        <w:rPr>
          <w:rFonts w:hint="eastAsia" w:ascii="仿宋" w:hAnsi="仿宋" w:eastAsia="仿宋" w:cs="Times New Roman"/>
          <w:bCs/>
          <w:sz w:val="32"/>
          <w:szCs w:val="32"/>
          <w:lang w:val="en-US"/>
        </w:rPr>
      </w:pPr>
    </w:p>
    <w:p>
      <w:pPr>
        <w:pStyle w:val="10"/>
        <w:widowControl/>
        <w:numPr>
          <w:ilvl w:val="0"/>
          <w:numId w:val="1"/>
        </w:numPr>
        <w:spacing w:line="600" w:lineRule="exact"/>
        <w:ind w:left="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绩效自评工作开展情况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999" w:firstLineChars="321"/>
        <w:rPr>
          <w:rFonts w:hint="eastAsia" w:ascii="微软雅黑" w:hAnsi="微软雅黑" w:eastAsia="微软雅黑" w:cs="微软雅黑"/>
          <w:i w:val="0"/>
          <w:caps w:val="0"/>
          <w:color w:val="4C4C4C"/>
          <w:spacing w:val="0"/>
          <w:sz w:val="24"/>
          <w:szCs w:val="24"/>
        </w:rPr>
      </w:pPr>
      <w:r>
        <w:rPr>
          <w:rStyle w:val="9"/>
          <w:rFonts w:hint="eastAsia" w:ascii="仿宋" w:hAnsi="仿宋" w:eastAsia="仿宋" w:cs="仿宋"/>
          <w:i w:val="0"/>
          <w:caps w:val="0"/>
          <w:color w:val="4C4C4C"/>
          <w:spacing w:val="0"/>
          <w:sz w:val="31"/>
          <w:szCs w:val="31"/>
          <w:shd w:val="clear" w:fill="FFFFFF"/>
        </w:rPr>
        <w:t>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65"/>
        <w:rPr>
          <w:rFonts w:hint="eastAsia" w:ascii="微软雅黑" w:hAnsi="微软雅黑" w:eastAsia="微软雅黑" w:cs="微软雅黑"/>
          <w:i w:val="0"/>
          <w:caps w:val="0"/>
          <w:color w:val="4C4C4C"/>
          <w:spacing w:val="0"/>
          <w:sz w:val="24"/>
          <w:szCs w:val="24"/>
        </w:rPr>
      </w:pPr>
      <w:r>
        <w:rPr>
          <w:rStyle w:val="9"/>
          <w:rFonts w:hint="eastAsia" w:ascii="仿宋" w:hAnsi="仿宋" w:eastAsia="仿宋" w:cs="仿宋"/>
          <w:i w:val="0"/>
          <w:caps w:val="0"/>
          <w:color w:val="4C4C4C"/>
          <w:spacing w:val="0"/>
          <w:sz w:val="31"/>
          <w:szCs w:val="31"/>
          <w:shd w:val="clear" w:fill="FFFFFF"/>
        </w:rPr>
        <w:t>（一）项目概况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i w:val="0"/>
          <w:caps w:val="0"/>
          <w:color w:val="333333"/>
          <w:spacing w:val="0"/>
          <w:kern w:val="2"/>
          <w:sz w:val="30"/>
          <w:szCs w:val="30"/>
          <w:lang w:val="en-US" w:eastAsia="zh-CN" w:bidi="ar-SA"/>
        </w:rPr>
      </w:pPr>
      <w:r>
        <w:rPr>
          <w:rFonts w:hint="eastAsia" w:ascii="仿宋_GB2312" w:hAnsi="仿宋_GB2312" w:eastAsia="仿宋_GB2312" w:cs="仿宋_GB2312"/>
          <w:i w:val="0"/>
          <w:caps w:val="0"/>
          <w:color w:val="333333"/>
          <w:spacing w:val="0"/>
          <w:kern w:val="2"/>
          <w:sz w:val="30"/>
          <w:szCs w:val="30"/>
          <w:lang w:val="en-US" w:eastAsia="zh-CN" w:bidi="ar-SA"/>
        </w:rPr>
        <w:t>株洲市渌口区文化旅游广电体育局是政府职能管理组成局，主管全区的文化、旅游、体育、广电工作。体育彩票公益金属渌口区文旅广体局确定的经常性项目。体育彩票公益金是按照规定比例从体育彩票发行销售收入中提取的，专项用于发展体育事业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4C4C4C"/>
          <w:spacing w:val="0"/>
          <w:sz w:val="24"/>
          <w:szCs w:val="24"/>
        </w:rPr>
      </w:pPr>
      <w:r>
        <w:rPr>
          <w:rStyle w:val="9"/>
          <w:rFonts w:hint="eastAsia" w:ascii="仿宋" w:hAnsi="仿宋" w:eastAsia="仿宋" w:cs="仿宋"/>
          <w:i w:val="0"/>
          <w:caps w:val="0"/>
          <w:color w:val="4C4C4C"/>
          <w:spacing w:val="0"/>
          <w:sz w:val="31"/>
          <w:szCs w:val="31"/>
          <w:shd w:val="clear" w:fill="FFFFFF"/>
        </w:rPr>
        <w:t>（二）项目绩效目标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i w:val="0"/>
          <w:caps w:val="0"/>
          <w:color w:val="333333"/>
          <w:spacing w:val="0"/>
          <w:kern w:val="2"/>
          <w:sz w:val="30"/>
          <w:szCs w:val="30"/>
          <w:lang w:val="en-US" w:eastAsia="zh-CN" w:bidi="ar-SA"/>
        </w:rPr>
      </w:pPr>
      <w:r>
        <w:rPr>
          <w:rFonts w:hint="eastAsia" w:ascii="仿宋_GB2312" w:hAnsi="仿宋_GB2312" w:eastAsia="仿宋_GB2312" w:cs="仿宋_GB2312"/>
          <w:i w:val="0"/>
          <w:caps w:val="0"/>
          <w:color w:val="333333"/>
          <w:spacing w:val="0"/>
          <w:kern w:val="2"/>
          <w:sz w:val="30"/>
          <w:szCs w:val="30"/>
          <w:lang w:val="en-US" w:eastAsia="zh-CN" w:bidi="ar-SA"/>
        </w:rPr>
        <w:t>通过体育彩票公益金的投入，为渌口区文体事业的发展提供坚实的经济基础。通过建设全民健身工程及体育场地调查工作，使上级及体育部门更加了解体育场地的实际情况，分析出我们还需要在那些地方需要加强和完善，让全区的全民健身工作不断提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65"/>
        <w:rPr>
          <w:rFonts w:hint="eastAsia" w:ascii="微软雅黑" w:hAnsi="微软雅黑" w:eastAsia="微软雅黑" w:cs="微软雅黑"/>
          <w:i w:val="0"/>
          <w:caps w:val="0"/>
          <w:color w:val="4C4C4C"/>
          <w:spacing w:val="0"/>
          <w:sz w:val="24"/>
          <w:szCs w:val="24"/>
        </w:rPr>
      </w:pPr>
      <w:r>
        <w:rPr>
          <w:rStyle w:val="9"/>
          <w:rFonts w:hint="eastAsia" w:ascii="仿宋" w:hAnsi="仿宋" w:eastAsia="仿宋" w:cs="仿宋"/>
          <w:i w:val="0"/>
          <w:caps w:val="0"/>
          <w:color w:val="4C4C4C"/>
          <w:spacing w:val="0"/>
          <w:sz w:val="31"/>
          <w:szCs w:val="31"/>
          <w:shd w:val="clear" w:fill="FFFFFF"/>
        </w:rPr>
        <w:t>二、绩效评价工作情况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4C4C4C"/>
          <w:spacing w:val="0"/>
          <w:sz w:val="24"/>
          <w:szCs w:val="24"/>
        </w:rPr>
      </w:pPr>
      <w:r>
        <w:rPr>
          <w:rStyle w:val="9"/>
          <w:rFonts w:hint="eastAsia" w:ascii="仿宋" w:hAnsi="仿宋" w:eastAsia="仿宋" w:cs="仿宋"/>
          <w:i w:val="0"/>
          <w:caps w:val="0"/>
          <w:color w:val="4C4C4C"/>
          <w:spacing w:val="0"/>
          <w:sz w:val="31"/>
          <w:szCs w:val="31"/>
          <w:shd w:val="clear" w:fill="FFFFFF"/>
        </w:rPr>
        <w:t>（一）绩效评价目的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i w:val="0"/>
          <w:caps w:val="0"/>
          <w:color w:val="333333"/>
          <w:spacing w:val="0"/>
          <w:kern w:val="2"/>
          <w:sz w:val="30"/>
          <w:szCs w:val="30"/>
          <w:lang w:val="en-US" w:eastAsia="zh-CN" w:bidi="ar-SA"/>
        </w:rPr>
      </w:pPr>
      <w:r>
        <w:rPr>
          <w:rFonts w:hint="eastAsia" w:ascii="仿宋_GB2312" w:hAnsi="仿宋_GB2312" w:eastAsia="仿宋_GB2312" w:cs="仿宋_GB2312"/>
          <w:i w:val="0"/>
          <w:caps w:val="0"/>
          <w:color w:val="333333"/>
          <w:spacing w:val="0"/>
          <w:kern w:val="2"/>
          <w:sz w:val="30"/>
          <w:szCs w:val="30"/>
          <w:lang w:val="en-US" w:eastAsia="zh-CN" w:bidi="ar-SA"/>
        </w:rPr>
        <w:t>1、加强和规范体彩公益金管理，提高专项资金使用效益；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i w:val="0"/>
          <w:caps w:val="0"/>
          <w:color w:val="333333"/>
          <w:spacing w:val="0"/>
          <w:kern w:val="2"/>
          <w:sz w:val="30"/>
          <w:szCs w:val="30"/>
          <w:lang w:val="en-US" w:eastAsia="zh-CN" w:bidi="ar-SA"/>
        </w:rPr>
      </w:pPr>
      <w:r>
        <w:rPr>
          <w:rFonts w:hint="eastAsia" w:ascii="仿宋_GB2312" w:hAnsi="仿宋_GB2312" w:eastAsia="仿宋_GB2312" w:cs="仿宋_GB2312"/>
          <w:i w:val="0"/>
          <w:caps w:val="0"/>
          <w:color w:val="333333"/>
          <w:spacing w:val="0"/>
          <w:kern w:val="2"/>
          <w:sz w:val="30"/>
          <w:szCs w:val="30"/>
          <w:lang w:val="en-US" w:eastAsia="zh-CN" w:bidi="ar-SA"/>
        </w:rPr>
        <w:t>2、建立健全绩效评价机制，更好的服务全县体育事业。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4C4C4C"/>
          <w:spacing w:val="0"/>
          <w:sz w:val="24"/>
          <w:szCs w:val="24"/>
        </w:rPr>
      </w:pPr>
      <w:r>
        <w:rPr>
          <w:rStyle w:val="9"/>
          <w:rFonts w:hint="eastAsia" w:ascii="仿宋" w:hAnsi="仿宋" w:eastAsia="仿宋" w:cs="仿宋"/>
          <w:i w:val="0"/>
          <w:caps w:val="0"/>
          <w:color w:val="4C4C4C"/>
          <w:spacing w:val="0"/>
          <w:sz w:val="31"/>
          <w:szCs w:val="31"/>
          <w:shd w:val="clear" w:fill="FFFFFF"/>
        </w:rPr>
        <w:t>（二）绩效评价原则、评价指标体系、评价方法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i w:val="0"/>
          <w:caps w:val="0"/>
          <w:color w:val="333333"/>
          <w:spacing w:val="0"/>
          <w:kern w:val="2"/>
          <w:sz w:val="30"/>
          <w:szCs w:val="30"/>
          <w:lang w:val="en-US" w:eastAsia="zh-CN" w:bidi="ar-SA"/>
        </w:rPr>
      </w:pPr>
      <w:r>
        <w:rPr>
          <w:rFonts w:hint="eastAsia" w:ascii="仿宋_GB2312" w:hAnsi="仿宋_GB2312" w:eastAsia="仿宋_GB2312" w:cs="仿宋_GB2312"/>
          <w:i w:val="0"/>
          <w:caps w:val="0"/>
          <w:color w:val="333333"/>
          <w:spacing w:val="0"/>
          <w:kern w:val="2"/>
          <w:sz w:val="30"/>
          <w:szCs w:val="30"/>
          <w:lang w:val="en-US" w:eastAsia="zh-CN" w:bidi="ar-SA"/>
        </w:rPr>
        <w:t>绩效评价原则：目标导向、依法评价；科学规范、分级实施；客观公正、公开透明。</w:t>
      </w:r>
    </w:p>
    <w:p>
      <w:pPr>
        <w:pStyle w:val="10"/>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eastAsia" w:ascii="方正黑体_GBK" w:hAnsi="方正黑体_GBK" w:eastAsia="方正黑体_GBK" w:cs="方正黑体_GBK"/>
          <w:sz w:val="32"/>
          <w:szCs w:val="32"/>
          <w:lang w:eastAsia="zh-CN"/>
        </w:rPr>
        <w:t>二、绩效目标自评完成情况分析</w:t>
      </w:r>
    </w:p>
    <w:p>
      <w:pPr>
        <w:pStyle w:val="10"/>
        <w:widowControl/>
        <w:spacing w:line="600" w:lineRule="exact"/>
        <w:ind w:left="0" w:firstLine="608" w:firstLineChars="200"/>
        <w:rPr>
          <w:rFonts w:hint="default" w:ascii="Times New Roman" w:hAnsi="Times New Roman" w:eastAsia="黑体" w:cs="Times New Roman"/>
          <w:sz w:val="32"/>
          <w:szCs w:val="32"/>
          <w:lang w:val="en-US"/>
        </w:rPr>
      </w:pPr>
      <w:r>
        <w:rPr>
          <w:rFonts w:hint="eastAsia" w:ascii="方正楷体_GBK" w:hAnsi="方正楷体_GBK" w:eastAsia="方正楷体_GBK" w:cs="方正楷体_GBK"/>
          <w:w w:val="95"/>
          <w:sz w:val="32"/>
          <w:szCs w:val="32"/>
          <w:lang w:eastAsia="zh-CN"/>
        </w:rPr>
        <w:t>（一）资金投入情况分析。</w:t>
      </w:r>
    </w:p>
    <w:p>
      <w:pPr>
        <w:keepNext w:val="0"/>
        <w:keepLines w:val="0"/>
        <w:pageBreakBefore w:val="0"/>
        <w:widowControl/>
        <w:kinsoku/>
        <w:wordWrap/>
        <w:overflowPunct/>
        <w:topLinePunct w:val="0"/>
        <w:autoSpaceDE/>
        <w:autoSpaceDN/>
        <w:bidi w:val="0"/>
        <w:spacing w:line="5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ascii="仿宋_GB2312" w:eastAsia="仿宋_GB2312"/>
          <w:sz w:val="32"/>
          <w:szCs w:val="32"/>
        </w:rPr>
        <w:t>资金到位情况分析</w:t>
      </w:r>
      <w:r>
        <w:rPr>
          <w:rFonts w:hint="eastAsia" w:ascii="仿宋_GB2312" w:eastAsia="仿宋_GB2312"/>
          <w:sz w:val="32"/>
          <w:szCs w:val="32"/>
          <w:lang w:val="en-US" w:eastAsia="zh-CN"/>
        </w:rPr>
        <w:t xml:space="preserve"> </w:t>
      </w:r>
    </w:p>
    <w:p>
      <w:pPr>
        <w:keepNext w:val="0"/>
        <w:keepLines w:val="0"/>
        <w:pageBreakBefore w:val="0"/>
        <w:widowControl/>
        <w:kinsoku/>
        <w:wordWrap/>
        <w:overflowPunct/>
        <w:topLinePunct w:val="0"/>
        <w:autoSpaceDE/>
        <w:autoSpaceDN/>
        <w:bidi w:val="0"/>
        <w:spacing w:line="500" w:lineRule="exact"/>
        <w:ind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eastAsia="仿宋_GB2312"/>
          <w:sz w:val="30"/>
          <w:szCs w:val="30"/>
        </w:rPr>
        <w:t>包括：专项资金金额</w:t>
      </w:r>
      <w:r>
        <w:rPr>
          <w:rFonts w:hint="eastAsia" w:ascii="仿宋_GB2312" w:eastAsia="仿宋_GB2312"/>
          <w:sz w:val="30"/>
          <w:szCs w:val="30"/>
          <w:lang w:val="en-US" w:eastAsia="zh-CN"/>
        </w:rPr>
        <w:t>65万元</w:t>
      </w:r>
      <w:r>
        <w:rPr>
          <w:rFonts w:hint="eastAsia" w:ascii="仿宋_GB2312" w:eastAsia="仿宋_GB2312"/>
          <w:sz w:val="30"/>
          <w:szCs w:val="30"/>
        </w:rPr>
        <w:t>，</w:t>
      </w:r>
      <w:r>
        <w:rPr>
          <w:rFonts w:hint="eastAsia" w:ascii="仿宋_GB2312" w:eastAsia="仿宋_GB2312"/>
          <w:sz w:val="30"/>
          <w:szCs w:val="30"/>
          <w:lang w:val="en-US" w:eastAsia="zh-CN"/>
        </w:rPr>
        <w:t>指标来源：渌财综指[2021]0010号 2020年市级分成体彩公益金项目资金。</w:t>
      </w:r>
      <w:r>
        <w:rPr>
          <w:rFonts w:hint="eastAsia" w:ascii="仿宋_GB2312" w:hAnsi="仿宋_GB2312" w:eastAsia="仿宋_GB2312" w:cs="仿宋_GB2312"/>
          <w:i w:val="0"/>
          <w:caps w:val="0"/>
          <w:color w:val="333333"/>
          <w:spacing w:val="0"/>
          <w:sz w:val="30"/>
          <w:szCs w:val="30"/>
        </w:rPr>
        <w:t>均为财政一般预算拨款。</w:t>
      </w:r>
      <w:r>
        <w:rPr>
          <w:rFonts w:hint="eastAsia" w:ascii="仿宋_GB2312" w:hAnsi="仿宋_GB2312" w:eastAsia="仿宋_GB2312" w:cs="仿宋_GB2312"/>
          <w:sz w:val="30"/>
          <w:szCs w:val="30"/>
        </w:rPr>
        <w:t>到位时间</w:t>
      </w:r>
      <w:r>
        <w:rPr>
          <w:rFonts w:hint="eastAsia" w:ascii="仿宋_GB2312" w:hAnsi="仿宋_GB2312" w:eastAsia="仿宋_GB2312" w:cs="仿宋_GB2312"/>
          <w:sz w:val="30"/>
          <w:szCs w:val="30"/>
          <w:lang w:val="en-US" w:eastAsia="zh-CN"/>
        </w:rPr>
        <w:t>2021年5月26日</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无</w:t>
      </w:r>
      <w:r>
        <w:rPr>
          <w:rFonts w:hint="eastAsia" w:ascii="仿宋_GB2312" w:hAnsi="仿宋_GB2312" w:eastAsia="仿宋_GB2312" w:cs="仿宋_GB2312"/>
          <w:sz w:val="30"/>
          <w:szCs w:val="30"/>
        </w:rPr>
        <w:t>自筹资金计划投资金额</w:t>
      </w:r>
      <w:r>
        <w:rPr>
          <w:rFonts w:hint="eastAsia" w:ascii="仿宋_GB2312" w:hAnsi="仿宋_GB2312" w:eastAsia="仿宋_GB2312" w:cs="仿宋_GB2312"/>
          <w:sz w:val="30"/>
          <w:szCs w:val="30"/>
          <w:lang w:eastAsia="zh-CN"/>
        </w:rPr>
        <w:t>。</w:t>
      </w:r>
    </w:p>
    <w:p>
      <w:pPr>
        <w:keepNext w:val="0"/>
        <w:keepLines w:val="0"/>
        <w:pageBreakBefore w:val="0"/>
        <w:widowControl/>
        <w:kinsoku/>
        <w:wordWrap/>
        <w:overflowPunct/>
        <w:topLinePunct w:val="0"/>
        <w:autoSpaceDE/>
        <w:autoSpaceDN/>
        <w:bidi w:val="0"/>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资金使用情况分析</w:t>
      </w:r>
    </w:p>
    <w:p>
      <w:pPr>
        <w:keepNext w:val="0"/>
        <w:keepLines w:val="0"/>
        <w:pageBreakBefore w:val="0"/>
        <w:widowControl/>
        <w:kinsoku/>
        <w:wordWrap/>
        <w:overflowPunct/>
        <w:topLinePunct w:val="0"/>
        <w:autoSpaceDE/>
        <w:autoSpaceDN/>
        <w:bidi w:val="0"/>
        <w:spacing w:line="500" w:lineRule="exact"/>
        <w:ind w:firstLine="600" w:firstLineChars="200"/>
        <w:jc w:val="left"/>
        <w:textAlignment w:val="auto"/>
        <w:rPr>
          <w:rFonts w:hint="default" w:ascii="仿宋_GB2312" w:eastAsia="仿宋_GB2312"/>
          <w:color w:val="auto"/>
          <w:sz w:val="30"/>
          <w:szCs w:val="30"/>
          <w:lang w:val="en-US" w:eastAsia="zh-CN"/>
        </w:rPr>
      </w:pPr>
      <w:r>
        <w:rPr>
          <w:rFonts w:hint="eastAsia" w:ascii="仿宋_GB2312" w:eastAsia="仿宋_GB2312"/>
          <w:color w:val="auto"/>
          <w:sz w:val="30"/>
          <w:szCs w:val="30"/>
          <w:lang w:eastAsia="zh-CN"/>
        </w:rPr>
        <w:t>我局</w:t>
      </w:r>
      <w:r>
        <w:rPr>
          <w:rFonts w:hint="eastAsia" w:ascii="仿宋_GB2312" w:eastAsia="仿宋_GB2312"/>
          <w:sz w:val="30"/>
          <w:szCs w:val="30"/>
          <w:lang w:val="en-US" w:eastAsia="zh-CN"/>
        </w:rPr>
        <w:t>2020年市级分成体彩公益金项目资金</w:t>
      </w:r>
      <w:r>
        <w:rPr>
          <w:rFonts w:hint="eastAsia" w:ascii="仿宋_GB2312" w:eastAsia="仿宋_GB2312"/>
          <w:color w:val="auto"/>
          <w:sz w:val="30"/>
          <w:szCs w:val="30"/>
          <w:lang w:val="en-US" w:eastAsia="zh-CN"/>
        </w:rPr>
        <w:t>，支付时间分为2021年6月24日（滑翔伞10万），2021年9月28日（湘骏文武学校5万），2021年11月26日（古岳峰翟家桥村5万）。2021年实际拨付20万。使用范围和项目建设相符，资金做到专款专用，</w:t>
      </w:r>
      <w:r>
        <w:rPr>
          <w:rFonts w:hint="eastAsia" w:ascii="仿宋_GB2312" w:eastAsia="仿宋_GB2312"/>
          <w:color w:val="auto"/>
          <w:sz w:val="30"/>
          <w:szCs w:val="30"/>
        </w:rPr>
        <w:t>财务管理制度健全，财务资料、账务处理规范</w:t>
      </w:r>
      <w:r>
        <w:rPr>
          <w:rFonts w:hint="eastAsia" w:ascii="仿宋_GB2312" w:eastAsia="仿宋_GB2312"/>
          <w:color w:val="auto"/>
          <w:sz w:val="30"/>
          <w:szCs w:val="30"/>
          <w:lang w:eastAsia="zh-CN"/>
        </w:rPr>
        <w:t>。资金使用范围用于</w:t>
      </w:r>
      <w:r>
        <w:rPr>
          <w:rFonts w:hint="eastAsia" w:ascii="仿宋_GB2312" w:eastAsia="仿宋_GB2312"/>
          <w:color w:val="auto"/>
          <w:sz w:val="30"/>
          <w:szCs w:val="30"/>
          <w:lang w:val="en-US" w:eastAsia="zh-CN"/>
        </w:rPr>
        <w:t>支持体彩公益金项目。2021年因财政资金紧张，主要是项目方没有做相关项目资料及项目绩效，项目未完成验收，故没有完成其余45万的资金拨付。</w:t>
      </w:r>
      <w:bookmarkStart w:id="0" w:name="_GoBack"/>
      <w:bookmarkEnd w:id="0"/>
    </w:p>
    <w:p>
      <w:pPr>
        <w:keepNext w:val="0"/>
        <w:keepLines w:val="0"/>
        <w:pageBreakBefore w:val="0"/>
        <w:widowControl/>
        <w:kinsoku/>
        <w:wordWrap/>
        <w:overflowPunct/>
        <w:topLinePunct w:val="0"/>
        <w:autoSpaceDE/>
        <w:autoSpaceDN/>
        <w:bidi w:val="0"/>
        <w:spacing w:line="500" w:lineRule="exact"/>
        <w:ind w:firstLine="840" w:firstLineChars="300"/>
        <w:jc w:val="left"/>
        <w:textAlignment w:val="auto"/>
        <w:rPr>
          <w:rFonts w:hint="eastAsia" w:ascii="仿宋_GB2312" w:eastAsia="仿宋_GB2312"/>
          <w:color w:val="auto"/>
          <w:sz w:val="28"/>
          <w:szCs w:val="28"/>
          <w:lang w:val="en-US" w:eastAsia="zh-CN"/>
        </w:rPr>
      </w:pPr>
    </w:p>
    <w:p>
      <w:pPr>
        <w:keepNext w:val="0"/>
        <w:keepLines w:val="0"/>
        <w:pageBreakBefore w:val="0"/>
        <w:widowControl/>
        <w:kinsoku/>
        <w:wordWrap/>
        <w:overflowPunct/>
        <w:topLinePunct w:val="0"/>
        <w:autoSpaceDE/>
        <w:autoSpaceDN/>
        <w:bidi w:val="0"/>
        <w:spacing w:line="500" w:lineRule="exact"/>
        <w:ind w:firstLine="840" w:firstLineChars="300"/>
        <w:jc w:val="left"/>
        <w:textAlignment w:val="auto"/>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2020年市级分成体彩公益金项目支出安排表（2021年）</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622"/>
        <w:gridCol w:w="171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序号</w:t>
            </w:r>
          </w:p>
        </w:tc>
        <w:tc>
          <w:tcPr>
            <w:tcW w:w="4622"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摘要</w:t>
            </w:r>
          </w:p>
        </w:tc>
        <w:tc>
          <w:tcPr>
            <w:tcW w:w="1713"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金额（万元）</w:t>
            </w:r>
          </w:p>
        </w:tc>
        <w:tc>
          <w:tcPr>
            <w:tcW w:w="1383"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1</w:t>
            </w:r>
          </w:p>
        </w:tc>
        <w:tc>
          <w:tcPr>
            <w:tcW w:w="4622"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eastAsia="仿宋_GB2312"/>
                <w:kern w:val="0"/>
                <w:sz w:val="24"/>
                <w:lang w:val="en-US" w:eastAsia="zh-CN"/>
              </w:rPr>
              <w:t>湖南华创体育文化产业发展有限公司</w:t>
            </w:r>
          </w:p>
        </w:tc>
        <w:tc>
          <w:tcPr>
            <w:tcW w:w="1713"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10</w:t>
            </w:r>
          </w:p>
        </w:tc>
        <w:tc>
          <w:tcPr>
            <w:tcW w:w="1383"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2</w:t>
            </w:r>
          </w:p>
        </w:tc>
        <w:tc>
          <w:tcPr>
            <w:tcW w:w="4622"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eastAsia="仿宋_GB2312"/>
                <w:kern w:val="0"/>
                <w:sz w:val="24"/>
                <w:lang w:val="en-US" w:eastAsia="zh-CN"/>
              </w:rPr>
              <w:t>株洲市渌口区湘骏文武学校</w:t>
            </w:r>
          </w:p>
        </w:tc>
        <w:tc>
          <w:tcPr>
            <w:tcW w:w="1713"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5</w:t>
            </w:r>
          </w:p>
        </w:tc>
        <w:tc>
          <w:tcPr>
            <w:tcW w:w="1383"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3</w:t>
            </w:r>
          </w:p>
        </w:tc>
        <w:tc>
          <w:tcPr>
            <w:tcW w:w="4622"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eastAsia="仿宋_GB2312"/>
                <w:b w:val="0"/>
                <w:i w:val="0"/>
                <w:caps w:val="0"/>
                <w:spacing w:val="0"/>
                <w:w w:val="100"/>
                <w:kern w:val="0"/>
                <w:sz w:val="24"/>
                <w:lang w:val="en-US" w:eastAsia="zh-CN"/>
              </w:rPr>
              <w:t>株洲市渌口区古岳峰镇翟家桥村</w:t>
            </w:r>
            <w:r>
              <w:rPr>
                <w:rFonts w:eastAsia="仿宋_GB2312"/>
                <w:b w:val="0"/>
                <w:i w:val="0"/>
                <w:caps w:val="0"/>
                <w:spacing w:val="0"/>
                <w:w w:val="100"/>
                <w:kern w:val="0"/>
                <w:sz w:val="24"/>
              </w:rPr>
              <w:t xml:space="preserve"> </w:t>
            </w:r>
          </w:p>
        </w:tc>
        <w:tc>
          <w:tcPr>
            <w:tcW w:w="1713"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5</w:t>
            </w:r>
          </w:p>
        </w:tc>
        <w:tc>
          <w:tcPr>
            <w:tcW w:w="1383"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p>
        </w:tc>
        <w:tc>
          <w:tcPr>
            <w:tcW w:w="4622"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合计</w:t>
            </w:r>
          </w:p>
        </w:tc>
        <w:tc>
          <w:tcPr>
            <w:tcW w:w="1713"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r>
              <w:rPr>
                <w:rFonts w:hint="eastAsia" w:ascii="仿宋_GB2312" w:eastAsia="仿宋_GB2312"/>
                <w:color w:val="auto"/>
                <w:sz w:val="28"/>
                <w:szCs w:val="28"/>
                <w:vertAlign w:val="baseline"/>
                <w:lang w:val="en-US" w:eastAsia="zh-CN"/>
              </w:rPr>
              <w:t>20</w:t>
            </w:r>
          </w:p>
        </w:tc>
        <w:tc>
          <w:tcPr>
            <w:tcW w:w="1383" w:type="dxa"/>
          </w:tcPr>
          <w:p>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default" w:ascii="仿宋_GB2312" w:eastAsia="仿宋_GB2312"/>
                <w:color w:val="auto"/>
                <w:sz w:val="28"/>
                <w:szCs w:val="28"/>
                <w:vertAlign w:val="baseline"/>
                <w:lang w:val="en-US" w:eastAsia="zh-CN"/>
              </w:rPr>
            </w:pPr>
          </w:p>
        </w:tc>
      </w:tr>
    </w:tbl>
    <w:p>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default" w:ascii="仿宋_GB2312" w:eastAsia="仿宋_GB2312"/>
          <w:color w:val="auto"/>
          <w:sz w:val="28"/>
          <w:szCs w:val="28"/>
          <w:lang w:val="en-US" w:eastAsia="zh-CN"/>
        </w:rPr>
      </w:pPr>
    </w:p>
    <w:p>
      <w:pPr>
        <w:keepNext w:val="0"/>
        <w:keepLines w:val="0"/>
        <w:pageBreakBefore w:val="0"/>
        <w:widowControl/>
        <w:numPr>
          <w:ilvl w:val="0"/>
          <w:numId w:val="0"/>
        </w:numPr>
        <w:kinsoku/>
        <w:wordWrap/>
        <w:overflowPunct/>
        <w:topLinePunct w:val="0"/>
        <w:autoSpaceDE/>
        <w:autoSpaceDN/>
        <w:bidi w:val="0"/>
        <w:spacing w:line="50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项目资金管理情况分析。主要包括</w:t>
      </w:r>
      <w:r>
        <w:rPr>
          <w:rFonts w:hint="eastAsia" w:ascii="仿宋_GB2312" w:eastAsia="仿宋_GB2312"/>
          <w:sz w:val="32"/>
          <w:szCs w:val="32"/>
        </w:rPr>
        <w:t>资金管理、项目</w:t>
      </w:r>
      <w:r>
        <w:rPr>
          <w:rFonts w:ascii="仿宋_GB2312" w:eastAsia="仿宋_GB2312"/>
          <w:sz w:val="32"/>
          <w:szCs w:val="32"/>
        </w:rPr>
        <w:t>管理</w:t>
      </w:r>
      <w:r>
        <w:rPr>
          <w:rFonts w:hint="eastAsia" w:ascii="仿宋_GB2312" w:eastAsia="仿宋_GB2312"/>
          <w:sz w:val="32"/>
          <w:szCs w:val="32"/>
        </w:rPr>
        <w:t>等</w:t>
      </w:r>
      <w:r>
        <w:rPr>
          <w:rFonts w:ascii="仿宋_GB2312" w:eastAsia="仿宋_GB2312"/>
          <w:sz w:val="32"/>
          <w:szCs w:val="32"/>
        </w:rPr>
        <w:t>制度的制订及执行情况。</w:t>
      </w:r>
    </w:p>
    <w:p>
      <w:pPr>
        <w:keepNext w:val="0"/>
        <w:keepLines w:val="0"/>
        <w:pageBreakBefore w:val="0"/>
        <w:kinsoku/>
        <w:wordWrap/>
        <w:overflowPunct/>
        <w:topLinePunct w:val="0"/>
        <w:autoSpaceDE/>
        <w:autoSpaceDN/>
        <w:bidi w:val="0"/>
        <w:spacing w:line="500" w:lineRule="exact"/>
        <w:ind w:firstLine="528" w:firstLineChars="176"/>
        <w:jc w:val="left"/>
        <w:textAlignment w:val="auto"/>
        <w:outlineLvl w:val="0"/>
        <w:rPr>
          <w:rFonts w:hint="default" w:ascii="Times New Roman" w:hAnsi="Times New Roman" w:eastAsia="仿宋_GB2312" w:cs="Times New Roman"/>
          <w:sz w:val="32"/>
          <w:szCs w:val="32"/>
          <w:lang w:val="en-US"/>
        </w:rPr>
      </w:pPr>
      <w:r>
        <w:rPr>
          <w:rFonts w:hint="eastAsia" w:ascii="仿宋_GB2312" w:hAnsi="仿宋_GB2312" w:eastAsia="仿宋_GB2312" w:cs="仿宋_GB2312"/>
          <w:i w:val="0"/>
          <w:caps w:val="0"/>
          <w:color w:val="333333"/>
          <w:spacing w:val="0"/>
          <w:sz w:val="30"/>
          <w:szCs w:val="30"/>
        </w:rPr>
        <w:t>为合理、有效、规范使用专项资金，我</w:t>
      </w:r>
      <w:r>
        <w:rPr>
          <w:rFonts w:hint="eastAsia" w:ascii="仿宋_GB2312" w:hAnsi="仿宋_GB2312" w:eastAsia="仿宋_GB2312" w:cs="仿宋_GB2312"/>
          <w:i w:val="0"/>
          <w:caps w:val="0"/>
          <w:color w:val="333333"/>
          <w:spacing w:val="0"/>
          <w:sz w:val="30"/>
          <w:szCs w:val="30"/>
          <w:lang w:eastAsia="zh-CN"/>
        </w:rPr>
        <w:t>区</w:t>
      </w:r>
      <w:r>
        <w:rPr>
          <w:rFonts w:hint="eastAsia" w:ascii="仿宋_GB2312" w:hAnsi="仿宋_GB2312" w:eastAsia="仿宋_GB2312" w:cs="仿宋_GB2312"/>
          <w:i w:val="0"/>
          <w:caps w:val="0"/>
          <w:color w:val="333333"/>
          <w:spacing w:val="0"/>
          <w:sz w:val="30"/>
          <w:szCs w:val="30"/>
        </w:rPr>
        <w:t>建立专项资金管理制度，完善专项资金管理流程，做到专款专用，严格按照相关会计制度进行会计核算和财务处理，做到财务处理及时、会计核算规范。项目资金纳入国库集中支付管理，项目单位严把审批关，杜绝了弄虚作假、截留、挤占、挪用专项资金的情况发生</w:t>
      </w:r>
      <w:r>
        <w:rPr>
          <w:rFonts w:hint="eastAsia" w:ascii="Times New Roman" w:hAnsi="Times New Roman" w:eastAsia="仿宋_GB2312" w:cs="Times New Roman"/>
          <w:w w:val="90"/>
          <w:sz w:val="32"/>
          <w:szCs w:val="32"/>
          <w:lang w:eastAsia="zh-CN"/>
        </w:rPr>
        <w:t>。</w:t>
      </w:r>
    </w:p>
    <w:p>
      <w:pPr>
        <w:keepNext w:val="0"/>
        <w:keepLines w:val="0"/>
        <w:pageBreakBefore w:val="0"/>
        <w:numPr>
          <w:ilvl w:val="0"/>
          <w:numId w:val="2"/>
        </w:numPr>
        <w:kinsoku/>
        <w:overflowPunct/>
        <w:topLinePunct w:val="0"/>
        <w:autoSpaceDE/>
        <w:autoSpaceDN/>
        <w:bidi w:val="0"/>
        <w:spacing w:line="500" w:lineRule="exact"/>
        <w:ind w:firstLine="537" w:firstLineChars="176"/>
        <w:jc w:val="left"/>
        <w:textAlignment w:val="auto"/>
        <w:outlineLvl w:val="0"/>
        <w:rPr>
          <w:rFonts w:hint="eastAsia" w:ascii="方正楷体_GBK" w:hAnsi="方正楷体_GBK" w:eastAsia="方正楷体_GBK" w:cs="方正楷体_GBK"/>
          <w:w w:val="95"/>
          <w:kern w:val="2"/>
          <w:sz w:val="32"/>
          <w:szCs w:val="32"/>
          <w:lang w:val="en-US" w:eastAsia="zh-CN" w:bidi="ar"/>
        </w:rPr>
      </w:pPr>
      <w:r>
        <w:rPr>
          <w:rFonts w:hint="eastAsia" w:ascii="方正楷体_GBK" w:hAnsi="方正楷体_GBK" w:eastAsia="方正楷体_GBK" w:cs="方正楷体_GBK"/>
          <w:b/>
          <w:bCs/>
          <w:w w:val="95"/>
          <w:kern w:val="2"/>
          <w:sz w:val="32"/>
          <w:szCs w:val="32"/>
          <w:lang w:val="en-US" w:eastAsia="zh-CN" w:bidi="ar"/>
        </w:rPr>
        <w:t>绩效目标完成情况分析</w:t>
      </w:r>
      <w:r>
        <w:rPr>
          <w:rFonts w:hint="eastAsia" w:ascii="方正楷体_GBK" w:hAnsi="方正楷体_GBK" w:eastAsia="方正楷体_GBK" w:cs="方正楷体_GBK"/>
          <w:w w:val="95"/>
          <w:kern w:val="2"/>
          <w:sz w:val="32"/>
          <w:szCs w:val="32"/>
          <w:lang w:val="en-US" w:eastAsia="zh-CN" w:bidi="ar"/>
        </w:rPr>
        <w:t>。</w:t>
      </w:r>
    </w:p>
    <w:p>
      <w:pPr>
        <w:keepNext w:val="0"/>
        <w:keepLines w:val="0"/>
        <w:pageBreakBefore w:val="0"/>
        <w:widowControl/>
        <w:kinsoku/>
        <w:overflowPunct/>
        <w:topLinePunct w:val="0"/>
        <w:autoSpaceDE/>
        <w:autoSpaceDN/>
        <w:bidi w:val="0"/>
        <w:spacing w:line="500" w:lineRule="exact"/>
        <w:ind w:firstLine="643" w:firstLineChars="200"/>
        <w:jc w:val="left"/>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1、</w:t>
      </w:r>
      <w:r>
        <w:rPr>
          <w:rFonts w:ascii="仿宋_GB2312" w:eastAsia="仿宋_GB2312"/>
          <w:b/>
          <w:bCs/>
          <w:sz w:val="32"/>
          <w:szCs w:val="32"/>
        </w:rPr>
        <w:t>项目组织</w:t>
      </w:r>
      <w:r>
        <w:rPr>
          <w:rFonts w:hint="eastAsia" w:ascii="仿宋_GB2312" w:eastAsia="仿宋_GB2312"/>
          <w:b/>
          <w:bCs/>
          <w:sz w:val="32"/>
          <w:szCs w:val="32"/>
          <w:lang w:eastAsia="zh-CN"/>
        </w:rPr>
        <w:t>及管理</w:t>
      </w:r>
      <w:r>
        <w:rPr>
          <w:rFonts w:ascii="仿宋_GB2312" w:eastAsia="仿宋_GB2312"/>
          <w:b/>
          <w:bCs/>
          <w:sz w:val="32"/>
          <w:szCs w:val="32"/>
        </w:rPr>
        <w:t>情况</w:t>
      </w:r>
      <w:r>
        <w:rPr>
          <w:rFonts w:hint="eastAsia" w:ascii="仿宋_GB2312" w:eastAsia="仿宋_GB2312"/>
          <w:b/>
          <w:bCs/>
          <w:sz w:val="32"/>
          <w:szCs w:val="32"/>
          <w:lang w:eastAsia="zh-CN"/>
        </w:rPr>
        <w:t>。</w:t>
      </w:r>
    </w:p>
    <w:p>
      <w:pPr>
        <w:keepNext w:val="0"/>
        <w:keepLines w:val="0"/>
        <w:pageBreakBefore w:val="0"/>
        <w:widowControl/>
        <w:kinsoku/>
        <w:overflowPunct/>
        <w:topLinePunct w:val="0"/>
        <w:autoSpaceDE/>
        <w:autoSpaceDN/>
        <w:bidi w:val="0"/>
        <w:spacing w:line="500" w:lineRule="exact"/>
        <w:ind w:firstLine="600" w:firstLineChars="200"/>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我局召开党组会专题研究该项目实施进展，为了保证项目的顺利实施，在项目实施过程中，项目做到“三到位”。一是制度到位。严格执行监理制、招投标制、合同制，提高项目实施的质量和效益。二是资金到位。按进度如期拨付项目有关费用，保证资金到位，保证实施进度。三是检查到位，定时不定时的组织财政、监察、财务审计、发展计划、文物等有关部门对项目的资金使用情况、质量情况、进度情况进行检查，同事接受社会的监督。</w:t>
      </w:r>
    </w:p>
    <w:p>
      <w:pPr>
        <w:keepNext w:val="0"/>
        <w:keepLines w:val="0"/>
        <w:pageBreakBefore w:val="0"/>
        <w:widowControl/>
        <w:kinsoku/>
        <w:overflowPunct/>
        <w:topLinePunct w:val="0"/>
        <w:autoSpaceDE/>
        <w:autoSpaceDN/>
        <w:bidi w:val="0"/>
        <w:spacing w:line="500" w:lineRule="exact"/>
        <w:ind w:firstLine="600" w:firstLineChars="200"/>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严格项目资金管理。对项目建设资金实行专账管理、专款专用，严禁挪用挤占。</w:t>
      </w:r>
    </w:p>
    <w:p>
      <w:pPr>
        <w:keepNext w:val="0"/>
        <w:keepLines w:val="0"/>
        <w:pageBreakBefore w:val="0"/>
        <w:widowControl/>
        <w:kinsoku/>
        <w:overflowPunct/>
        <w:topLinePunct w:val="0"/>
        <w:autoSpaceDE/>
        <w:autoSpaceDN/>
        <w:bidi w:val="0"/>
        <w:spacing w:line="500" w:lineRule="exact"/>
        <w:ind w:firstLine="643"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2、项目产出情况</w:t>
      </w:r>
    </w:p>
    <w:p>
      <w:pPr>
        <w:keepNext w:val="0"/>
        <w:keepLines w:val="0"/>
        <w:pageBreakBefore w:val="0"/>
        <w:widowControl/>
        <w:kinsoku/>
        <w:overflowPunct/>
        <w:topLinePunct w:val="0"/>
        <w:autoSpaceDE/>
        <w:autoSpaceDN/>
        <w:bidi w:val="0"/>
        <w:spacing w:line="500" w:lineRule="exact"/>
        <w:ind w:firstLine="600" w:firstLineChars="200"/>
        <w:jc w:val="left"/>
        <w:textAlignment w:val="auto"/>
        <w:rPr>
          <w:rFonts w:ascii="仿宋_GB2312" w:eastAsia="仿宋_GB2312"/>
          <w:sz w:val="30"/>
          <w:szCs w:val="30"/>
        </w:rPr>
      </w:pPr>
      <w:r>
        <w:rPr>
          <w:rFonts w:ascii="仿宋_GB2312" w:eastAsia="仿宋_GB2312"/>
          <w:sz w:val="30"/>
          <w:szCs w:val="30"/>
        </w:rPr>
        <w:t>（一）项目实施的实际产出数与计划产出数的比率情况及分析。</w:t>
      </w:r>
    </w:p>
    <w:p>
      <w:pPr>
        <w:keepNext w:val="0"/>
        <w:keepLines w:val="0"/>
        <w:pageBreakBefore w:val="0"/>
        <w:widowControl/>
        <w:kinsoku/>
        <w:overflowPunct/>
        <w:topLinePunct w:val="0"/>
        <w:autoSpaceDE/>
        <w:autoSpaceDN/>
        <w:bidi w:val="0"/>
        <w:spacing w:line="500" w:lineRule="exact"/>
        <w:ind w:firstLine="900" w:firstLineChars="300"/>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经核验，所有项目均已计划产出完成，产出目标完成</w:t>
      </w:r>
      <w:r>
        <w:rPr>
          <w:rFonts w:hint="eastAsia" w:ascii="仿宋_GB2312" w:eastAsia="仿宋_GB2312"/>
          <w:sz w:val="30"/>
          <w:szCs w:val="30"/>
          <w:lang w:val="en-US" w:eastAsia="zh-CN"/>
        </w:rPr>
        <w:t>100%。</w:t>
      </w:r>
    </w:p>
    <w:p>
      <w:pPr>
        <w:keepNext w:val="0"/>
        <w:keepLines w:val="0"/>
        <w:pageBreakBefore w:val="0"/>
        <w:widowControl/>
        <w:numPr>
          <w:ilvl w:val="0"/>
          <w:numId w:val="3"/>
        </w:numPr>
        <w:kinsoku/>
        <w:overflowPunct/>
        <w:topLinePunct w:val="0"/>
        <w:autoSpaceDE/>
        <w:autoSpaceDN/>
        <w:bidi w:val="0"/>
        <w:spacing w:line="500" w:lineRule="exact"/>
        <w:ind w:firstLine="600" w:firstLineChars="200"/>
        <w:jc w:val="left"/>
        <w:textAlignment w:val="auto"/>
        <w:rPr>
          <w:rFonts w:ascii="仿宋_GB2312" w:eastAsia="仿宋_GB2312"/>
          <w:sz w:val="30"/>
          <w:szCs w:val="30"/>
        </w:rPr>
      </w:pPr>
      <w:r>
        <w:rPr>
          <w:rFonts w:ascii="仿宋_GB2312" w:eastAsia="仿宋_GB2312"/>
          <w:sz w:val="30"/>
          <w:szCs w:val="30"/>
        </w:rPr>
        <w:t>项目实际提前完成时间与计划完成时间的比率情况及分析。</w:t>
      </w:r>
    </w:p>
    <w:p>
      <w:pPr>
        <w:keepNext w:val="0"/>
        <w:keepLines w:val="0"/>
        <w:pageBreakBefore w:val="0"/>
        <w:widowControl/>
        <w:kinsoku/>
        <w:overflowPunct/>
        <w:topLinePunct w:val="0"/>
        <w:autoSpaceDE/>
        <w:autoSpaceDN/>
        <w:bidi w:val="0"/>
        <w:spacing w:line="500" w:lineRule="exact"/>
        <w:ind w:firstLine="600" w:firstLineChars="200"/>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 xml:space="preserve">  </w:t>
      </w:r>
      <w:r>
        <w:rPr>
          <w:rFonts w:hint="eastAsia" w:ascii="仿宋_GB2312" w:eastAsia="仿宋_GB2312"/>
          <w:sz w:val="30"/>
          <w:szCs w:val="30"/>
          <w:lang w:eastAsia="zh-CN"/>
        </w:rPr>
        <w:t>经核验，所有项目均已按时完成，时间目标完成</w:t>
      </w:r>
      <w:r>
        <w:rPr>
          <w:rFonts w:hint="eastAsia" w:ascii="仿宋_GB2312" w:eastAsia="仿宋_GB2312"/>
          <w:sz w:val="30"/>
          <w:szCs w:val="30"/>
          <w:lang w:val="en-US" w:eastAsia="zh-CN"/>
        </w:rPr>
        <w:t>100%。</w:t>
      </w:r>
    </w:p>
    <w:p>
      <w:pPr>
        <w:keepNext w:val="0"/>
        <w:keepLines w:val="0"/>
        <w:pageBreakBefore w:val="0"/>
        <w:widowControl/>
        <w:numPr>
          <w:ilvl w:val="0"/>
          <w:numId w:val="3"/>
        </w:numPr>
        <w:kinsoku/>
        <w:overflowPunct/>
        <w:topLinePunct w:val="0"/>
        <w:autoSpaceDE/>
        <w:autoSpaceDN/>
        <w:bidi w:val="0"/>
        <w:spacing w:line="500" w:lineRule="exact"/>
        <w:ind w:left="0" w:leftChars="0" w:firstLine="600" w:firstLineChars="200"/>
        <w:jc w:val="left"/>
        <w:textAlignment w:val="auto"/>
        <w:rPr>
          <w:rFonts w:ascii="仿宋_GB2312" w:eastAsia="仿宋_GB2312"/>
          <w:sz w:val="30"/>
          <w:szCs w:val="30"/>
        </w:rPr>
      </w:pPr>
      <w:r>
        <w:rPr>
          <w:rFonts w:ascii="仿宋_GB2312" w:eastAsia="仿宋_GB2312"/>
          <w:sz w:val="30"/>
          <w:szCs w:val="30"/>
        </w:rPr>
        <w:t>项目完成的质量达标产出数与实际产出数的比率情况及分析。</w:t>
      </w:r>
    </w:p>
    <w:p>
      <w:pPr>
        <w:keepNext w:val="0"/>
        <w:keepLines w:val="0"/>
        <w:pageBreakBefore w:val="0"/>
        <w:widowControl/>
        <w:kinsoku/>
        <w:overflowPunct/>
        <w:topLinePunct w:val="0"/>
        <w:autoSpaceDE/>
        <w:autoSpaceDN/>
        <w:bidi w:val="0"/>
        <w:spacing w:line="500" w:lineRule="exact"/>
        <w:ind w:firstLine="600" w:firstLineChars="200"/>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 xml:space="preserve">  </w:t>
      </w:r>
      <w:r>
        <w:rPr>
          <w:rFonts w:hint="eastAsia" w:ascii="仿宋_GB2312" w:eastAsia="仿宋_GB2312"/>
          <w:sz w:val="30"/>
          <w:szCs w:val="30"/>
          <w:lang w:eastAsia="zh-CN"/>
        </w:rPr>
        <w:t>经核验，所有项目均已按质按量完成，目标完成</w:t>
      </w:r>
      <w:r>
        <w:rPr>
          <w:rFonts w:hint="eastAsia" w:ascii="仿宋_GB2312" w:eastAsia="仿宋_GB2312"/>
          <w:sz w:val="30"/>
          <w:szCs w:val="30"/>
          <w:lang w:val="en-US" w:eastAsia="zh-CN"/>
        </w:rPr>
        <w:t>100%。</w:t>
      </w:r>
    </w:p>
    <w:p>
      <w:pPr>
        <w:keepNext w:val="0"/>
        <w:keepLines w:val="0"/>
        <w:pageBreakBefore w:val="0"/>
        <w:widowControl/>
        <w:numPr>
          <w:ilvl w:val="0"/>
          <w:numId w:val="3"/>
        </w:numPr>
        <w:kinsoku/>
        <w:overflowPunct/>
        <w:topLinePunct w:val="0"/>
        <w:autoSpaceDE/>
        <w:autoSpaceDN/>
        <w:bidi w:val="0"/>
        <w:spacing w:line="500" w:lineRule="exact"/>
        <w:ind w:left="0" w:leftChars="0" w:firstLine="600" w:firstLineChars="200"/>
        <w:jc w:val="left"/>
        <w:textAlignment w:val="auto"/>
        <w:rPr>
          <w:rFonts w:ascii="仿宋_GB2312" w:eastAsia="仿宋_GB2312"/>
          <w:sz w:val="30"/>
          <w:szCs w:val="30"/>
        </w:rPr>
      </w:pPr>
      <w:r>
        <w:rPr>
          <w:rFonts w:ascii="仿宋_GB2312" w:eastAsia="仿宋_GB2312"/>
          <w:sz w:val="30"/>
          <w:szCs w:val="30"/>
        </w:rPr>
        <w:t>完成项目计划工作目标的实际节约成本与计划成本的比率情况及分析。</w:t>
      </w:r>
    </w:p>
    <w:p>
      <w:pPr>
        <w:keepNext w:val="0"/>
        <w:keepLines w:val="0"/>
        <w:pageBreakBefore w:val="0"/>
        <w:widowControl/>
        <w:numPr>
          <w:ilvl w:val="0"/>
          <w:numId w:val="3"/>
        </w:numPr>
        <w:kinsoku/>
        <w:overflowPunct/>
        <w:topLinePunct w:val="0"/>
        <w:autoSpaceDE/>
        <w:autoSpaceDN/>
        <w:bidi w:val="0"/>
        <w:spacing w:line="500" w:lineRule="exact"/>
        <w:ind w:left="0" w:leftChars="0" w:firstLine="600" w:firstLineChars="200"/>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 xml:space="preserve">  经核验，所有项目均已完成，实际成本与计划成本基本持平。</w:t>
      </w:r>
    </w:p>
    <w:p>
      <w:pPr>
        <w:keepNext w:val="0"/>
        <w:keepLines w:val="0"/>
        <w:pageBreakBefore w:val="0"/>
        <w:widowControl/>
        <w:kinsoku/>
        <w:overflowPunct/>
        <w:topLinePunct w:val="0"/>
        <w:autoSpaceDE/>
        <w:autoSpaceDN/>
        <w:bidi w:val="0"/>
        <w:spacing w:line="500" w:lineRule="exact"/>
        <w:ind w:firstLine="643" w:firstLineChars="200"/>
        <w:jc w:val="left"/>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 xml:space="preserve">3、项目效果情况 </w:t>
      </w:r>
    </w:p>
    <w:p>
      <w:pPr>
        <w:keepNext w:val="0"/>
        <w:keepLines w:val="0"/>
        <w:pageBreakBefore w:val="0"/>
        <w:widowControl/>
        <w:kinsoku/>
        <w:overflowPunct/>
        <w:topLinePunct w:val="0"/>
        <w:autoSpaceDE/>
        <w:autoSpaceDN/>
        <w:bidi w:val="0"/>
        <w:spacing w:line="500" w:lineRule="exact"/>
        <w:ind w:firstLine="643" w:firstLineChars="200"/>
        <w:jc w:val="left"/>
        <w:textAlignment w:val="auto"/>
        <w:rPr>
          <w:rFonts w:ascii="仿宋_GB2312" w:eastAsia="仿宋_GB2312"/>
          <w:b/>
          <w:bCs/>
          <w:color w:val="0D0D0D" w:themeColor="text1" w:themeTint="F2"/>
          <w:sz w:val="32"/>
          <w:szCs w:val="32"/>
          <w14:textFill>
            <w14:solidFill>
              <w14:schemeClr w14:val="tx1">
                <w14:lumMod w14:val="95000"/>
                <w14:lumOff w14:val="5000"/>
              </w14:schemeClr>
            </w14:solidFill>
          </w14:textFill>
        </w:rPr>
      </w:pPr>
      <w:r>
        <w:rPr>
          <w:rFonts w:ascii="仿宋_GB2312" w:eastAsia="仿宋_GB2312"/>
          <w:b/>
          <w:bCs/>
          <w:color w:val="0D0D0D" w:themeColor="text1" w:themeTint="F2"/>
          <w:sz w:val="32"/>
          <w:szCs w:val="32"/>
          <w14:textFill>
            <w14:solidFill>
              <w14:schemeClr w14:val="tx1">
                <w14:lumMod w14:val="95000"/>
                <w14:lumOff w14:val="5000"/>
              </w14:schemeClr>
            </w14:solidFill>
          </w14:textFill>
        </w:rPr>
        <w:t>（</w:t>
      </w:r>
      <w:r>
        <w:rPr>
          <w:rFonts w:hint="eastAsia" w:ascii="仿宋_GB2312" w:eastAsia="仿宋_GB2312"/>
          <w:b/>
          <w:bCs/>
          <w:color w:val="0D0D0D" w:themeColor="text1" w:themeTint="F2"/>
          <w:sz w:val="32"/>
          <w:szCs w:val="32"/>
          <w:lang w:val="en-US" w:eastAsia="zh-CN"/>
          <w14:textFill>
            <w14:solidFill>
              <w14:schemeClr w14:val="tx1">
                <w14:lumMod w14:val="95000"/>
                <w14:lumOff w14:val="5000"/>
              </w14:schemeClr>
            </w14:solidFill>
          </w14:textFill>
        </w:rPr>
        <w:t>1</w:t>
      </w:r>
      <w:r>
        <w:rPr>
          <w:rFonts w:ascii="仿宋_GB2312" w:eastAsia="仿宋_GB2312"/>
          <w:b/>
          <w:bCs/>
          <w:color w:val="0D0D0D" w:themeColor="text1" w:themeTint="F2"/>
          <w:sz w:val="32"/>
          <w:szCs w:val="32"/>
          <w14:textFill>
            <w14:solidFill>
              <w14:schemeClr w14:val="tx1">
                <w14:lumMod w14:val="95000"/>
                <w14:lumOff w14:val="5000"/>
              </w14:schemeClr>
            </w14:solidFill>
          </w14:textFill>
        </w:rPr>
        <w:t>）项目绩效目标完成情况分析。</w:t>
      </w:r>
    </w:p>
    <w:p>
      <w:pPr>
        <w:keepNext w:val="0"/>
        <w:keepLines w:val="0"/>
        <w:pageBreakBefore w:val="0"/>
        <w:widowControl/>
        <w:kinsoku/>
        <w:overflowPunct/>
        <w:topLinePunct w:val="0"/>
        <w:autoSpaceDE/>
        <w:autoSpaceDN/>
        <w:bidi w:val="0"/>
        <w:spacing w:line="500" w:lineRule="exact"/>
        <w:ind w:firstLine="600" w:firstLineChars="200"/>
        <w:jc w:val="left"/>
        <w:textAlignment w:val="auto"/>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t>1、经济效益</w:t>
      </w:r>
    </w:p>
    <w:p>
      <w:pPr>
        <w:keepNext w:val="0"/>
        <w:keepLines w:val="0"/>
        <w:pageBreakBefore w:val="0"/>
        <w:widowControl/>
        <w:kinsoku/>
        <w:overflowPunct/>
        <w:topLinePunct w:val="0"/>
        <w:autoSpaceDE/>
        <w:autoSpaceDN/>
        <w:bidi w:val="0"/>
        <w:spacing w:line="500" w:lineRule="exact"/>
        <w:ind w:firstLine="600" w:firstLineChars="200"/>
        <w:jc w:val="left"/>
        <w:textAlignment w:val="auto"/>
        <w:rPr>
          <w:rFonts w:hint="eastAsia" w:ascii="方正仿宋_GBK" w:hAnsi="方正仿宋_GBK" w:eastAsia="方正仿宋_GBK" w:cs="方正仿宋_GBK"/>
          <w:color w:val="0D0D0D" w:themeColor="text1" w:themeTint="F2"/>
          <w:sz w:val="30"/>
          <w:szCs w:val="30"/>
          <w:lang w:val="en-US" w:eastAsia="zh-CN"/>
          <w14:textFill>
            <w14:solidFill>
              <w14:schemeClr w14:val="tx1">
                <w14:lumMod w14:val="95000"/>
                <w14:lumOff w14:val="5000"/>
              </w14:schemeClr>
            </w14:solidFill>
          </w14:textFill>
        </w:rPr>
      </w:pPr>
      <w:r>
        <w:rPr>
          <w:rFonts w:hint="eastAsia" w:ascii="方正仿宋_GBK" w:hAnsi="方正仿宋_GBK" w:eastAsia="方正仿宋_GBK" w:cs="方正仿宋_GBK"/>
          <w:i w:val="0"/>
          <w:iCs w:val="0"/>
          <w:caps w:val="0"/>
          <w:color w:val="0D0D0D" w:themeColor="text1" w:themeTint="F2"/>
          <w:spacing w:val="0"/>
          <w:sz w:val="30"/>
          <w:szCs w:val="30"/>
          <w:shd w:val="clear" w:fill="FFFFFF"/>
          <w14:textFill>
            <w14:solidFill>
              <w14:schemeClr w14:val="tx1">
                <w14:lumMod w14:val="95000"/>
                <w14:lumOff w14:val="5000"/>
              </w14:schemeClr>
            </w14:solidFill>
          </w14:textFill>
        </w:rPr>
        <w:t>增加健身场地设施有效供给</w:t>
      </w:r>
      <w:r>
        <w:rPr>
          <w:rFonts w:hint="eastAsia" w:ascii="方正仿宋_GBK" w:hAnsi="方正仿宋_GBK" w:eastAsia="方正仿宋_GBK" w:cs="方正仿宋_GBK"/>
          <w:i w:val="0"/>
          <w:iCs w:val="0"/>
          <w:caps w:val="0"/>
          <w:color w:val="0D0D0D" w:themeColor="text1" w:themeTint="F2"/>
          <w:spacing w:val="0"/>
          <w:sz w:val="30"/>
          <w:szCs w:val="30"/>
          <w:shd w:val="clear" w:fill="FFFFFF"/>
          <w:lang w:eastAsia="zh-CN"/>
          <w14:textFill>
            <w14:solidFill>
              <w14:schemeClr w14:val="tx1">
                <w14:lumMod w14:val="95000"/>
                <w14:lumOff w14:val="5000"/>
              </w14:schemeClr>
            </w14:solidFill>
          </w14:textFill>
        </w:rPr>
        <w:t>，</w:t>
      </w:r>
      <w:r>
        <w:rPr>
          <w:rFonts w:hint="eastAsia" w:ascii="方正仿宋_GBK" w:hAnsi="方正仿宋_GBK" w:eastAsia="方正仿宋_GBK" w:cs="方正仿宋_GBK"/>
          <w:color w:val="0D0D0D" w:themeColor="text1" w:themeTint="F2"/>
          <w:sz w:val="30"/>
          <w:szCs w:val="30"/>
          <w:lang w:val="en-US" w:eastAsia="zh-CN"/>
          <w14:textFill>
            <w14:solidFill>
              <w14:schemeClr w14:val="tx1">
                <w14:lumMod w14:val="95000"/>
                <w14:lumOff w14:val="5000"/>
              </w14:schemeClr>
            </w14:solidFill>
          </w14:textFill>
        </w:rPr>
        <w:t>推动全民参与体育活动。</w:t>
      </w:r>
    </w:p>
    <w:p>
      <w:pPr>
        <w:keepNext w:val="0"/>
        <w:keepLines w:val="0"/>
        <w:pageBreakBefore w:val="0"/>
        <w:widowControl/>
        <w:numPr>
          <w:ilvl w:val="0"/>
          <w:numId w:val="4"/>
        </w:numPr>
        <w:kinsoku/>
        <w:overflowPunct/>
        <w:topLinePunct w:val="0"/>
        <w:autoSpaceDE/>
        <w:autoSpaceDN/>
        <w:bidi w:val="0"/>
        <w:spacing w:line="500" w:lineRule="exact"/>
        <w:ind w:firstLine="600" w:firstLineChars="200"/>
        <w:jc w:val="left"/>
        <w:textAlignment w:val="auto"/>
        <w:rPr>
          <w:rFonts w:hint="eastAsia" w:ascii="方正仿宋_GBK" w:hAnsi="方正仿宋_GBK" w:eastAsia="方正仿宋_GBK" w:cs="方正仿宋_GBK"/>
          <w:color w:val="0D0D0D" w:themeColor="text1" w:themeTint="F2"/>
          <w:sz w:val="30"/>
          <w:szCs w:val="30"/>
          <w:lang w:val="en-US" w:eastAsia="zh-CN"/>
          <w14:textFill>
            <w14:solidFill>
              <w14:schemeClr w14:val="tx1">
                <w14:lumMod w14:val="95000"/>
                <w14:lumOff w14:val="5000"/>
              </w14:schemeClr>
            </w14:solidFill>
          </w14:textFill>
        </w:rPr>
      </w:pPr>
      <w:r>
        <w:rPr>
          <w:rFonts w:hint="eastAsia" w:ascii="方正仿宋_GBK" w:hAnsi="方正仿宋_GBK" w:eastAsia="方正仿宋_GBK" w:cs="方正仿宋_GBK"/>
          <w:color w:val="0D0D0D" w:themeColor="text1" w:themeTint="F2"/>
          <w:sz w:val="30"/>
          <w:szCs w:val="30"/>
          <w:lang w:val="en-US" w:eastAsia="zh-CN"/>
          <w14:textFill>
            <w14:solidFill>
              <w14:schemeClr w14:val="tx1">
                <w14:lumMod w14:val="95000"/>
                <w14:lumOff w14:val="5000"/>
              </w14:schemeClr>
            </w14:solidFill>
          </w14:textFill>
        </w:rPr>
        <w:t>社会效益</w:t>
      </w:r>
    </w:p>
    <w:p>
      <w:pPr>
        <w:keepNext w:val="0"/>
        <w:keepLines w:val="0"/>
        <w:pageBreakBefore w:val="0"/>
        <w:widowControl/>
        <w:numPr>
          <w:ilvl w:val="0"/>
          <w:numId w:val="0"/>
        </w:numPr>
        <w:kinsoku/>
        <w:overflowPunct/>
        <w:topLinePunct w:val="0"/>
        <w:autoSpaceDE/>
        <w:autoSpaceDN/>
        <w:bidi w:val="0"/>
        <w:spacing w:line="500" w:lineRule="exact"/>
        <w:jc w:val="left"/>
        <w:textAlignment w:val="auto"/>
        <w:rPr>
          <w:rFonts w:hint="eastAsia" w:ascii="方正仿宋_GBK" w:hAnsi="方正仿宋_GBK" w:eastAsia="方正仿宋_GBK" w:cs="方正仿宋_GBK"/>
          <w:color w:val="0D0D0D" w:themeColor="text1" w:themeTint="F2"/>
          <w:sz w:val="30"/>
          <w:szCs w:val="30"/>
          <w:lang w:val="en-US" w:eastAsia="zh-CN"/>
          <w14:textFill>
            <w14:solidFill>
              <w14:schemeClr w14:val="tx1">
                <w14:lumMod w14:val="95000"/>
                <w14:lumOff w14:val="5000"/>
              </w14:schemeClr>
            </w14:solidFill>
          </w14:textFill>
        </w:rPr>
      </w:pPr>
      <w:r>
        <w:rPr>
          <w:rFonts w:hint="eastAsia" w:ascii="方正仿宋_GBK" w:hAnsi="方正仿宋_GBK" w:eastAsia="方正仿宋_GBK" w:cs="方正仿宋_GBK"/>
          <w:color w:val="0D0D0D" w:themeColor="text1" w:themeTint="F2"/>
          <w:sz w:val="30"/>
          <w:szCs w:val="30"/>
          <w:lang w:val="en-US" w:eastAsia="zh-CN"/>
          <w14:textFill>
            <w14:solidFill>
              <w14:schemeClr w14:val="tx1">
                <w14:lumMod w14:val="95000"/>
                <w14:lumOff w14:val="5000"/>
              </w14:schemeClr>
            </w14:solidFill>
          </w14:textFill>
        </w:rPr>
        <w:t xml:space="preserve">    促进体育事业发展，丰富群众体育生活。</w:t>
      </w:r>
    </w:p>
    <w:p>
      <w:pPr>
        <w:keepNext w:val="0"/>
        <w:keepLines w:val="0"/>
        <w:pageBreakBefore w:val="0"/>
        <w:widowControl/>
        <w:numPr>
          <w:ilvl w:val="0"/>
          <w:numId w:val="0"/>
        </w:numPr>
        <w:kinsoku/>
        <w:overflowPunct/>
        <w:topLinePunct w:val="0"/>
        <w:autoSpaceDE/>
        <w:autoSpaceDN/>
        <w:bidi w:val="0"/>
        <w:spacing w:line="500" w:lineRule="exact"/>
        <w:ind w:leftChars="200" w:firstLine="300" w:firstLineChars="100"/>
        <w:jc w:val="left"/>
        <w:textAlignment w:val="auto"/>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t>3、生态效益</w:t>
      </w:r>
    </w:p>
    <w:p>
      <w:pPr>
        <w:keepNext w:val="0"/>
        <w:keepLines w:val="0"/>
        <w:pageBreakBefore w:val="0"/>
        <w:widowControl/>
        <w:numPr>
          <w:ilvl w:val="0"/>
          <w:numId w:val="0"/>
        </w:numPr>
        <w:kinsoku/>
        <w:overflowPunct/>
        <w:topLinePunct w:val="0"/>
        <w:autoSpaceDE/>
        <w:autoSpaceDN/>
        <w:bidi w:val="0"/>
        <w:spacing w:line="500" w:lineRule="exact"/>
        <w:ind w:leftChars="200"/>
        <w:jc w:val="left"/>
        <w:textAlignment w:val="auto"/>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t xml:space="preserve"> 完善村镇体育设施，丰富体育活动。</w:t>
      </w:r>
    </w:p>
    <w:p>
      <w:pPr>
        <w:keepNext w:val="0"/>
        <w:keepLines w:val="0"/>
        <w:pageBreakBefore w:val="0"/>
        <w:widowControl/>
        <w:numPr>
          <w:ilvl w:val="0"/>
          <w:numId w:val="0"/>
        </w:numPr>
        <w:kinsoku/>
        <w:overflowPunct/>
        <w:topLinePunct w:val="0"/>
        <w:autoSpaceDE/>
        <w:autoSpaceDN/>
        <w:bidi w:val="0"/>
        <w:spacing w:line="500" w:lineRule="exact"/>
        <w:ind w:leftChars="200" w:firstLine="300" w:firstLineChars="100"/>
        <w:jc w:val="left"/>
        <w:textAlignment w:val="auto"/>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t>4、可持续影响</w:t>
      </w:r>
    </w:p>
    <w:p>
      <w:pPr>
        <w:keepNext w:val="0"/>
        <w:keepLines w:val="0"/>
        <w:pageBreakBefore w:val="0"/>
        <w:widowControl/>
        <w:numPr>
          <w:ilvl w:val="0"/>
          <w:numId w:val="0"/>
        </w:numPr>
        <w:kinsoku/>
        <w:overflowPunct/>
        <w:topLinePunct w:val="0"/>
        <w:autoSpaceDE/>
        <w:autoSpaceDN/>
        <w:bidi w:val="0"/>
        <w:spacing w:line="500" w:lineRule="exact"/>
        <w:ind w:leftChars="200"/>
        <w:jc w:val="left"/>
        <w:textAlignment w:val="auto"/>
        <w:rPr>
          <w:rFonts w:hint="default"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t xml:space="preserve">  增强全民体质</w:t>
      </w:r>
    </w:p>
    <w:p>
      <w:pPr>
        <w:keepNext w:val="0"/>
        <w:keepLines w:val="0"/>
        <w:pageBreakBefore w:val="0"/>
        <w:widowControl/>
        <w:numPr>
          <w:ilvl w:val="0"/>
          <w:numId w:val="0"/>
        </w:numPr>
        <w:kinsoku/>
        <w:overflowPunct/>
        <w:topLinePunct w:val="0"/>
        <w:autoSpaceDE/>
        <w:autoSpaceDN/>
        <w:bidi w:val="0"/>
        <w:spacing w:line="500" w:lineRule="exact"/>
        <w:ind w:leftChars="200" w:firstLine="300" w:firstLineChars="100"/>
        <w:jc w:val="left"/>
        <w:textAlignment w:val="auto"/>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t>5、服务对象满意度</w:t>
      </w:r>
    </w:p>
    <w:p>
      <w:pPr>
        <w:keepNext w:val="0"/>
        <w:keepLines w:val="0"/>
        <w:pageBreakBefore w:val="0"/>
        <w:widowControl/>
        <w:numPr>
          <w:ilvl w:val="0"/>
          <w:numId w:val="0"/>
        </w:numPr>
        <w:kinsoku/>
        <w:overflowPunct/>
        <w:topLinePunct w:val="0"/>
        <w:autoSpaceDE/>
        <w:autoSpaceDN/>
        <w:bidi w:val="0"/>
        <w:spacing w:line="500" w:lineRule="exact"/>
        <w:ind w:leftChars="200"/>
        <w:jc w:val="left"/>
        <w:textAlignment w:val="auto"/>
        <w:rPr>
          <w:rFonts w:hint="default"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0"/>
          <w:szCs w:val="30"/>
          <w:lang w:val="en-US" w:eastAsia="zh-CN"/>
          <w14:textFill>
            <w14:solidFill>
              <w14:schemeClr w14:val="tx1">
                <w14:lumMod w14:val="95000"/>
                <w14:lumOff w14:val="5000"/>
              </w14:schemeClr>
            </w14:solidFill>
          </w14:textFill>
        </w:rPr>
        <w:t xml:space="preserve">  服务对象满意度100%</w:t>
      </w:r>
    </w:p>
    <w:p>
      <w:pPr>
        <w:keepNext w:val="0"/>
        <w:keepLines w:val="0"/>
        <w:pageBreakBefore w:val="0"/>
        <w:widowControl/>
        <w:numPr>
          <w:ilvl w:val="0"/>
          <w:numId w:val="5"/>
        </w:numPr>
        <w:kinsoku/>
        <w:overflowPunct/>
        <w:topLinePunct w:val="0"/>
        <w:autoSpaceDE/>
        <w:autoSpaceDN/>
        <w:bidi w:val="0"/>
        <w:spacing w:line="500" w:lineRule="exact"/>
        <w:ind w:left="630" w:leftChars="0"/>
        <w:jc w:val="lef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项目效果目标未完成原因分析。主要反映偏离绩效目标的情况并分析其原因。</w:t>
      </w:r>
    </w:p>
    <w:p>
      <w:pPr>
        <w:keepNext w:val="0"/>
        <w:keepLines w:val="0"/>
        <w:pageBreakBefore w:val="0"/>
        <w:widowControl/>
        <w:numPr>
          <w:ilvl w:val="0"/>
          <w:numId w:val="0"/>
        </w:numPr>
        <w:kinsoku/>
        <w:overflowPunct/>
        <w:topLinePunct w:val="0"/>
        <w:autoSpaceDE/>
        <w:autoSpaceDN/>
        <w:bidi w:val="0"/>
        <w:spacing w:line="500" w:lineRule="exact"/>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xml:space="preserve">     无</w:t>
      </w:r>
    </w:p>
    <w:p>
      <w:pPr>
        <w:pStyle w:val="10"/>
        <w:widowControl/>
        <w:spacing w:line="600" w:lineRule="exact"/>
        <w:ind w:left="0"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三、偏离绩效目标的原因和下一步改进措施。无</w:t>
      </w:r>
    </w:p>
    <w:p>
      <w:pPr>
        <w:pStyle w:val="10"/>
        <w:widowControl/>
        <w:spacing w:line="600" w:lineRule="exact"/>
        <w:ind w:left="0"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四、绩效自评结果拟应用和公开情况。无</w:t>
      </w:r>
    </w:p>
    <w:p>
      <w:pPr>
        <w:pStyle w:val="10"/>
        <w:widowControl/>
        <w:spacing w:line="600" w:lineRule="exact"/>
        <w:ind w:left="0" w:firstLine="640" w:firstLineChars="200"/>
        <w:rPr>
          <w:rFonts w:hint="eastAsia" w:ascii="方正黑体_GBK" w:hAnsi="方正黑体_GBK" w:eastAsia="方正黑体_GBK" w:cs="方正黑体_GBK"/>
          <w:sz w:val="32"/>
          <w:szCs w:val="32"/>
          <w:lang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14AF9"/>
    <w:multiLevelType w:val="singleLevel"/>
    <w:tmpl w:val="88D14AF9"/>
    <w:lvl w:ilvl="0" w:tentative="0">
      <w:start w:val="2"/>
      <w:numFmt w:val="decimal"/>
      <w:suff w:val="nothing"/>
      <w:lvlText w:val="%1、"/>
      <w:lvlJc w:val="left"/>
    </w:lvl>
  </w:abstractNum>
  <w:abstractNum w:abstractNumId="1">
    <w:nsid w:val="981E5D36"/>
    <w:multiLevelType w:val="singleLevel"/>
    <w:tmpl w:val="981E5D36"/>
    <w:lvl w:ilvl="0" w:tentative="0">
      <w:start w:val="2"/>
      <w:numFmt w:val="decimal"/>
      <w:suff w:val="nothing"/>
      <w:lvlText w:val="（%1）"/>
      <w:lvlJc w:val="left"/>
    </w:lvl>
  </w:abstractNum>
  <w:abstractNum w:abstractNumId="2">
    <w:nsid w:val="3A3BE1CA"/>
    <w:multiLevelType w:val="singleLevel"/>
    <w:tmpl w:val="3A3BE1CA"/>
    <w:lvl w:ilvl="0" w:tentative="0">
      <w:start w:val="2"/>
      <w:numFmt w:val="chineseCounting"/>
      <w:suff w:val="nothing"/>
      <w:lvlText w:val="（%1）"/>
      <w:lvlJc w:val="left"/>
      <w:rPr>
        <w:rFonts w:hint="eastAsia"/>
      </w:rPr>
    </w:lvl>
  </w:abstractNum>
  <w:abstractNum w:abstractNumId="3">
    <w:nsid w:val="58509FC2"/>
    <w:multiLevelType w:val="singleLevel"/>
    <w:tmpl w:val="58509FC2"/>
    <w:lvl w:ilvl="0" w:tentative="0">
      <w:start w:val="2"/>
      <w:numFmt w:val="chineseCounting"/>
      <w:suff w:val="nothing"/>
      <w:lvlText w:val="（%1）"/>
      <w:lvlJc w:val="left"/>
      <w:rPr>
        <w:rFonts w:hint="eastAsia"/>
      </w:rPr>
    </w:lvl>
  </w:abstractNum>
  <w:abstractNum w:abstractNumId="4">
    <w:nsid w:val="669D4D8A"/>
    <w:multiLevelType w:val="singleLevel"/>
    <w:tmpl w:val="669D4D8A"/>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E5A51"/>
    <w:rsid w:val="21C25B7A"/>
    <w:rsid w:val="223D6E06"/>
    <w:rsid w:val="28705FFD"/>
    <w:rsid w:val="40563F3F"/>
    <w:rsid w:val="49011700"/>
    <w:rsid w:val="4AB20167"/>
    <w:rsid w:val="4C2377B3"/>
    <w:rsid w:val="50BE636B"/>
    <w:rsid w:val="554E5A51"/>
    <w:rsid w:val="6E405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2022-03-04T02:45:00Z</dcterms:created>
  <dc:creator>像雾像兩</dc:creator>
  <cp:lastModifiedBy>Administrator</cp:lastModifiedBy>
  <cp:lastPrinted>2022-03-04T03:58:00Z</cp:lastPrinted>
  <dcterms:modified xsi:type="dcterms:W3CDTF">2022-03-11T05:38:27Z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DE6023588A584642B71549A8B2FC0349</vt:lpwstr>
  </property>
</Properties>
</file>