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 w:cs="Times New Roman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2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58"/>
        <w:gridCol w:w="950"/>
        <w:gridCol w:w="268"/>
        <w:gridCol w:w="1436"/>
        <w:gridCol w:w="324"/>
        <w:gridCol w:w="712"/>
        <w:gridCol w:w="1371"/>
        <w:gridCol w:w="707"/>
        <w:gridCol w:w="23"/>
        <w:gridCol w:w="795"/>
        <w:gridCol w:w="24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81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株洲市渌口区第三中学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全年预算数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1121.79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1303.760817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1303.760817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按收入性质分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1303.760817</w:t>
            </w:r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按支出性质分：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1303.760817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其中：一般公共预算: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1303.760817</w:t>
            </w:r>
            <w:bookmarkStart w:id="0" w:name="_GoBack"/>
            <w:bookmarkEnd w:id="0"/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其中：基本支出：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1303.760817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政府性基金拨款:</w:t>
            </w:r>
            <w:r>
              <w:rPr>
                <w:rFonts w:hint="eastAsia" w:asciiTheme="minorEastAsia" w:hAnsiTheme="minor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实施公办高中教育，促进基础教育发展</w:t>
            </w:r>
          </w:p>
        </w:tc>
        <w:tc>
          <w:tcPr>
            <w:tcW w:w="4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按时完成了各项教育教学工作任务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5"/>
                <w:szCs w:val="15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5"/>
                <w:szCs w:val="15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特色社团课程建设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≧15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18个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校本课程参与率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100%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教师培训率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100%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各级各类竞赛学生获奖人数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≧20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各级各类竞赛教师获奖人数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≧10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42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重大安全事故率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按进度完成各项支出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≧98%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％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保障人员经费发放到位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100%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经费投入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1123.47万元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1303.76万元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效益指标</w:t>
            </w:r>
          </w:p>
          <w:p>
            <w:pPr>
              <w:widowControl/>
              <w:ind w:firstLine="150" w:firstLineChars="100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15"/>
                <w:szCs w:val="15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分）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益指标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益指标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z w:val="15"/>
                <w:szCs w:val="15"/>
                <w:lang w:eastAsia="zh-CN"/>
              </w:rPr>
              <w:t>参加名师工作室、特级教师工作室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≧2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益指标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校园绿化覆盖率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≧30%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≧30%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9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品牌课程培育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eastAsia="宋体" w:cs="宋体"/>
                <w:color w:val="555555"/>
                <w:sz w:val="15"/>
                <w:szCs w:val="15"/>
              </w:rPr>
              <w:t>≧2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15"/>
                <w:szCs w:val="15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分）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社会反映好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555555"/>
                <w:sz w:val="15"/>
                <w:szCs w:val="15"/>
              </w:rPr>
              <w:t>≧98%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≧98%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spacing w:line="660" w:lineRule="exact"/>
        <w:jc w:val="center"/>
        <w:rPr>
          <w:rFonts w:hint="eastAsia" w:ascii="Times New Roman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rPr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预算单位基本情况</w:t>
      </w:r>
    </w:p>
    <w:p>
      <w:pPr>
        <w:ind w:firstLine="567"/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本单位为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none"/>
          <w:lang w:eastAsia="zh-CN"/>
        </w:rPr>
        <w:t>株洲市渌口区第三中学，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所属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级</w:t>
      </w:r>
      <w:r>
        <w:rPr>
          <w:rFonts w:hint="eastAsia" w:ascii="仿宋_GB2312" w:hAnsi="仿宋" w:eastAsia="仿宋_GB2312" w:cs="仿宋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财政补助事业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。现有在编专任教师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74名，事业单位工勤人员2名，退休教师18人，遗属1名。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（一）基本支出情况：</w:t>
      </w:r>
      <w:r>
        <w:rPr>
          <w:rFonts w:hint="eastAsia"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1303.76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1303.76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1160.70</w:t>
      </w:r>
      <w:r>
        <w:rPr>
          <w:rFonts w:hint="eastAsia" w:eastAsia="仿宋_GB2312"/>
          <w:color w:val="000000"/>
          <w:kern w:val="0"/>
          <w:sz w:val="32"/>
          <w:szCs w:val="32"/>
        </w:rPr>
        <w:t>万元，日常公用经费、业务性商品和服务支出、其他资本性支出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143.06</w:t>
      </w:r>
      <w:r>
        <w:rPr>
          <w:rFonts w:hint="eastAsia" w:eastAsia="仿宋_GB2312"/>
          <w:color w:val="000000"/>
          <w:kern w:val="0"/>
          <w:sz w:val="32"/>
          <w:szCs w:val="32"/>
        </w:rPr>
        <w:t>万元。</w:t>
      </w:r>
    </w:p>
    <w:p>
      <w:pPr>
        <w:pStyle w:val="6"/>
        <w:widowControl/>
        <w:spacing w:line="600" w:lineRule="exact"/>
        <w:rPr>
          <w:rFonts w:hint="default"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本单位年初预算项目支出为0万元.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1303.76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1303.76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1160.70</w:t>
      </w:r>
      <w:r>
        <w:rPr>
          <w:rFonts w:hint="eastAsia" w:eastAsia="仿宋_GB2312"/>
          <w:color w:val="000000"/>
          <w:kern w:val="0"/>
          <w:sz w:val="32"/>
          <w:szCs w:val="32"/>
        </w:rPr>
        <w:t>万元，日常公用经费、业务性商品和服务支出、其他资本性支出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143.06</w:t>
      </w:r>
      <w:r>
        <w:rPr>
          <w:rFonts w:hint="eastAsia" w:eastAsia="仿宋_GB2312"/>
          <w:color w:val="000000"/>
          <w:kern w:val="0"/>
          <w:sz w:val="32"/>
          <w:szCs w:val="32"/>
        </w:rPr>
        <w:t>万元。</w:t>
      </w:r>
    </w:p>
    <w:p>
      <w:pPr>
        <w:pStyle w:val="6"/>
        <w:widowControl/>
        <w:spacing w:line="60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>
      <w:pPr>
        <w:pStyle w:val="6"/>
        <w:widowControl/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1、绩效评价管理体制不健全</w:t>
      </w:r>
    </w:p>
    <w:p>
      <w:pPr>
        <w:pStyle w:val="6"/>
        <w:widowControl/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2、业务素质有待进一步提高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1、加强业务学习。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2、善绩效评价工作制度。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六、绩效自评结果拟应用和公开情况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绩效自评公开由教育局统一公开。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</w:p>
    <w:p>
      <w:pPr>
        <w:ind w:firstLine="2560" w:firstLineChars="800"/>
        <w:rPr>
          <w:rFonts w:hint="eastAsia" w:ascii="仿宋" w:hAnsi="仿宋" w:eastAsia="仿宋" w:cs="黑体"/>
          <w:sz w:val="32"/>
          <w:szCs w:val="32"/>
          <w:lang w:eastAsia="zh-CN"/>
        </w:rPr>
      </w:pPr>
    </w:p>
    <w:p>
      <w:pPr>
        <w:ind w:firstLine="5120" w:firstLineChars="160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株洲市渌口区第三中学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</w:p>
    <w:p>
      <w:pPr>
        <w:ind w:firstLine="5120" w:firstLineChars="160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 2021年2月27日</w:t>
      </w:r>
    </w:p>
    <w:sectPr>
      <w:pgSz w:w="11906" w:h="16838"/>
      <w:pgMar w:top="1157" w:right="1576" w:bottom="115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22387-9A8B-4D70-AF46-333CAE1875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208DDD-DBA9-482D-BD1F-3111D1CD2D6B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E153C5-96D7-4296-B22F-8048D92308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793100B-8AE4-42C5-8F45-631A933A11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90580"/>
    <w:multiLevelType w:val="multilevel"/>
    <w:tmpl w:val="1439058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F105D"/>
    <w:rsid w:val="2DFC3A9A"/>
    <w:rsid w:val="3D6F105D"/>
    <w:rsid w:val="405F029A"/>
    <w:rsid w:val="619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2022-02-28T06:46:00Z</dcterms:created>
  <dc:creator>争飞</dc:creator>
  <cp:lastModifiedBy>争飞</cp:lastModifiedBy>
  <dcterms:modified xsi:type="dcterms:W3CDTF">2022-02-28T08:11:45Z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6BFE0223942A49B8B26951F3C03C4DAB</vt:lpwstr>
  </property>
</Properties>
</file>