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pStyle w:val="3"/>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r>
        <w:rPr>
          <w:rFonts w:hint="eastAsia" w:ascii="方正小标宋简体" w:hAnsi="Times New Roman" w:eastAsia="方正小标宋简体" w:cs="Times New Roman"/>
          <w:bCs/>
          <w:w w:val="95"/>
          <w:sz w:val="44"/>
          <w:szCs w:val="44"/>
          <w:lang w:eastAsia="zh-CN"/>
        </w:rPr>
        <w:t>基层司法业务（调解经费）</w:t>
      </w:r>
    </w:p>
    <w:p>
      <w:pPr>
        <w:pStyle w:val="3"/>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项目支出绩效自评报告</w:t>
      </w:r>
    </w:p>
    <w:p>
      <w:pPr>
        <w:pStyle w:val="9"/>
        <w:widowControl/>
        <w:spacing w:line="600" w:lineRule="exact"/>
        <w:ind w:left="0" w:firstLine="0"/>
        <w:rPr>
          <w:rFonts w:hint="eastAsia" w:ascii="仿宋" w:hAnsi="仿宋" w:eastAsia="仿宋" w:cs="Times New Roman"/>
          <w:bCs/>
          <w:sz w:val="32"/>
          <w:szCs w:val="32"/>
          <w:lang w:val="en-US"/>
        </w:rPr>
      </w:pPr>
    </w:p>
    <w:p>
      <w:pPr>
        <w:pStyle w:val="9"/>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依据《中华人民共和国人民调解法》、财政部、司法部《关于进一步加强人民调解工作经费保障的意见》要求，由区财政年度预算安排，用于解决人民调解员误工费及报酬低问题，全面调动乡（镇）、村（居）人民调解员的工作积极性和主动性，提高矛盾纠纷受理率和调处成功率。</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总体目标是充分调动我区乡（镇）、村（居）人民调解员的工作积极性,提高矛盾纠纷受理率和调处成功率，把社会矛盾纠纷化解在基层,解决在萌芽状态，实现“小纠纷不出村（居），大纠纷不出乡（镇）”的目标，进一步保障社会和谐稳定。</w:t>
      </w:r>
    </w:p>
    <w:p>
      <w:pPr>
        <w:pStyle w:val="9"/>
        <w:widowControl/>
        <w:numPr>
          <w:ilvl w:val="0"/>
          <w:numId w:val="1"/>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绩效目标自评完成情况分析</w:t>
      </w:r>
      <w:bookmarkStart w:id="0" w:name="_GoBack"/>
      <w:bookmarkEnd w:id="0"/>
    </w:p>
    <w:p>
      <w:pPr>
        <w:pStyle w:val="9"/>
        <w:keepNext w:val="0"/>
        <w:keepLines w:val="0"/>
        <w:pageBreakBefore w:val="0"/>
        <w:widowControl/>
        <w:numPr>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2021年人民调解经费达到了预期效果。主要成就如下：</w:t>
      </w:r>
      <w:r>
        <w:rPr>
          <w:rFonts w:hint="eastAsia" w:ascii="Times New Roman" w:hAnsi="Times New Roman" w:eastAsia="仿宋_GB2312" w:cs="Times New Roman"/>
          <w:b w:val="0"/>
          <w:bCs w:val="0"/>
          <w:sz w:val="32"/>
          <w:szCs w:val="32"/>
        </w:rPr>
        <w:t>筑牢安全底线，维护社会和谐稳定。做实矛盾纠纷调处，将不稳定因素控制在萌芽状态。全力做好安保信访维稳工作，部署开展“迎建党百年 护和谐稳定”矛盾纠纷排查化解专项</w:t>
      </w:r>
      <w:r>
        <w:rPr>
          <w:rFonts w:hint="eastAsia" w:eastAsia="仿宋_GB2312"/>
          <w:b w:val="0"/>
          <w:bCs w:val="0"/>
          <w:sz w:val="32"/>
          <w:szCs w:val="32"/>
        </w:rPr>
        <w:t>活动。</w:t>
      </w:r>
      <w:r>
        <w:rPr>
          <w:rFonts w:hint="eastAsia" w:ascii="Times New Roman" w:hAnsi="Times New Roman" w:eastAsia="仿宋_GB2312" w:cs="Times New Roman"/>
          <w:b w:val="0"/>
          <w:bCs w:val="0"/>
          <w:sz w:val="32"/>
          <w:szCs w:val="32"/>
        </w:rPr>
        <w:t>扎实开展“人民调解进网格”，</w:t>
      </w:r>
      <w:r>
        <w:rPr>
          <w:rFonts w:ascii="Times New Roman" w:hAnsi="Times New Roman" w:eastAsia="仿宋_GB2312" w:cs="Times New Roman"/>
          <w:b w:val="0"/>
          <w:bCs w:val="0"/>
          <w:sz w:val="32"/>
          <w:szCs w:val="32"/>
        </w:rPr>
        <w:t>结合“警民同心、网格走亲”，</w:t>
      </w:r>
      <w:r>
        <w:rPr>
          <w:b w:val="0"/>
          <w:bCs w:val="0"/>
        </w:rPr>
        <w:t xml:space="preserve"> </w:t>
      </w:r>
      <w:r>
        <w:rPr>
          <w:rFonts w:ascii="Times New Roman" w:hAnsi="Times New Roman" w:eastAsia="仿宋_GB2312" w:cs="Times New Roman"/>
          <w:b w:val="0"/>
          <w:bCs w:val="0"/>
          <w:sz w:val="32"/>
          <w:szCs w:val="32"/>
        </w:rPr>
        <w:t>排查矛盾纠纷 240 次，已调处矛盾纠纷</w:t>
      </w:r>
      <w:r>
        <w:rPr>
          <w:rFonts w:hint="eastAsia" w:ascii="Times New Roman" w:hAnsi="Times New Roman" w:eastAsia="仿宋_GB2312" w:cs="Times New Roman"/>
          <w:b w:val="0"/>
          <w:bCs w:val="0"/>
          <w:sz w:val="32"/>
          <w:szCs w:val="32"/>
        </w:rPr>
        <w:t>1061</w:t>
      </w:r>
      <w:r>
        <w:rPr>
          <w:rFonts w:ascii="Times New Roman" w:hAnsi="Times New Roman" w:eastAsia="仿宋_GB2312" w:cs="Times New Roman"/>
          <w:b w:val="0"/>
          <w:bCs w:val="0"/>
          <w:sz w:val="32"/>
          <w:szCs w:val="32"/>
        </w:rPr>
        <w:t>起，调解成功</w:t>
      </w:r>
      <w:r>
        <w:rPr>
          <w:rFonts w:hint="eastAsia" w:ascii="Times New Roman" w:hAnsi="Times New Roman" w:eastAsia="仿宋_GB2312" w:cs="Times New Roman"/>
          <w:b w:val="0"/>
          <w:bCs w:val="0"/>
          <w:sz w:val="32"/>
          <w:szCs w:val="32"/>
        </w:rPr>
        <w:t>1047</w:t>
      </w:r>
      <w:r>
        <w:rPr>
          <w:rFonts w:ascii="Times New Roman" w:hAnsi="Times New Roman" w:eastAsia="仿宋_GB2312" w:cs="Times New Roman"/>
          <w:b w:val="0"/>
          <w:bCs w:val="0"/>
          <w:sz w:val="32"/>
          <w:szCs w:val="32"/>
        </w:rPr>
        <w:t>起，成功率  98.6 %</w:t>
      </w:r>
      <w:r>
        <w:rPr>
          <w:rFonts w:hint="eastAsia" w:ascii="Times New Roman" w:hAnsi="Times New Roman" w:eastAsia="仿宋_GB2312" w:cs="Times New Roman"/>
          <w:b w:val="0"/>
          <w:bCs w:val="0"/>
          <w:sz w:val="32"/>
          <w:szCs w:val="32"/>
        </w:rPr>
        <w:t>。</w:t>
      </w:r>
    </w:p>
    <w:p>
      <w:pPr>
        <w:pStyle w:val="9"/>
        <w:widowControl/>
        <w:numPr>
          <w:ilvl w:val="0"/>
          <w:numId w:val="2"/>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偏离绩效目标的原因：未偏离绩效目标。</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下一步改进措施：</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firstLineChars="200"/>
        <w:textAlignment w:val="auto"/>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val="en-US" w:eastAsia="zh-CN"/>
        </w:rPr>
        <w:t>1、</w:t>
      </w:r>
      <w:r>
        <w:rPr>
          <w:rFonts w:hint="eastAsia" w:ascii="Times New Roman" w:hAnsi="Times New Roman" w:eastAsia="方正仿宋_GBK" w:cs="Times New Roman"/>
          <w:sz w:val="31"/>
          <w:szCs w:val="31"/>
          <w:shd w:val="clear" w:fill="FFFFFF"/>
          <w:lang w:eastAsia="zh-CN"/>
        </w:rPr>
        <w:t>建议大力推进矛盾纠纷排查调处工作，推进符合人民调解“以奖代补”政策的调解案件数量的提高，努力保质保量完成各项任务。</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firstLineChars="200"/>
        <w:textAlignment w:val="auto"/>
        <w:rPr>
          <w:rFonts w:hint="default" w:ascii="Times New Roman" w:hAnsi="Times New Roman" w:eastAsia="方正仿宋_GBK" w:cs="Times New Roman"/>
          <w:sz w:val="31"/>
          <w:szCs w:val="31"/>
          <w:shd w:val="clear" w:fill="FFFFFF"/>
        </w:rPr>
      </w:pPr>
      <w:r>
        <w:rPr>
          <w:rFonts w:hint="eastAsia" w:ascii="Times New Roman" w:hAnsi="Times New Roman" w:eastAsia="方正仿宋_GBK" w:cs="Times New Roman"/>
          <w:sz w:val="31"/>
          <w:szCs w:val="31"/>
          <w:shd w:val="clear" w:fill="FFFFFF"/>
          <w:lang w:val="en-US" w:eastAsia="zh-CN"/>
        </w:rPr>
        <w:t>2、</w:t>
      </w: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及时与业务股室沟通协调，确保专项资金使用实现最大效益。</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default" w:ascii="方正黑体_GBK" w:hAnsi="方正黑体_GBK" w:eastAsia="方正黑体_GBK" w:cs="方正黑体_GBK"/>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规范财务核算，对专项资金进行单独核算。</w:t>
      </w:r>
      <w:r>
        <w:rPr>
          <w:rFonts w:hint="eastAsia" w:ascii="仿宋" w:hAnsi="仿宋" w:eastAsia="仿宋" w:cs="仿宋"/>
          <w:sz w:val="32"/>
          <w:szCs w:val="32"/>
          <w:shd w:val="clear" w:color="auto" w:fill="FFFFFF"/>
        </w:rPr>
        <w:t>加强对</w:t>
      </w:r>
      <w:r>
        <w:rPr>
          <w:rFonts w:hint="eastAsia" w:ascii="仿宋" w:hAnsi="仿宋" w:eastAsia="仿宋" w:cs="仿宋"/>
          <w:sz w:val="32"/>
          <w:szCs w:val="32"/>
          <w:shd w:val="clear" w:color="auto" w:fill="FFFFFF"/>
          <w:lang w:eastAsia="zh-CN"/>
        </w:rPr>
        <w:t>财务</w:t>
      </w:r>
      <w:r>
        <w:rPr>
          <w:rFonts w:hint="eastAsia" w:ascii="仿宋" w:hAnsi="仿宋" w:eastAsia="仿宋" w:cs="仿宋"/>
          <w:sz w:val="32"/>
          <w:szCs w:val="32"/>
          <w:shd w:val="clear" w:color="auto" w:fill="FFFFFF"/>
        </w:rPr>
        <w:t>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pPr>
        <w:pStyle w:val="9"/>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四、绩效自评结果拟应用和公开情况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在单位财政资金使用中，树立“花钱必问效、低效无效必问责”的绩效理念，对重大项目开展事前绩效评估，评估结果将应用于预算安排，对没有效益或效益低下的项目不列入年度预算。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公开绩效目标表、自评表、自评报告。根据预算法的要求，经本级政府财政部门批复的决算信息在规定时间向社会公开，并按要求对部门决算中机关运行经费的安排和使用情况等重要事项作了说明。</w:t>
      </w:r>
    </w:p>
    <w:p>
      <w:pPr>
        <w:pStyle w:val="9"/>
        <w:widowControl/>
        <w:spacing w:line="600" w:lineRule="exact"/>
        <w:ind w:left="0" w:firstLine="640" w:firstLineChars="200"/>
        <w:rPr>
          <w:rFonts w:hint="default"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FD3F5"/>
    <w:multiLevelType w:val="singleLevel"/>
    <w:tmpl w:val="0CFFD3F5"/>
    <w:lvl w:ilvl="0" w:tentative="0">
      <w:start w:val="3"/>
      <w:numFmt w:val="chineseCounting"/>
      <w:suff w:val="nothing"/>
      <w:lvlText w:val="%1、"/>
      <w:lvlJc w:val="left"/>
      <w:rPr>
        <w:rFonts w:hint="eastAsia"/>
      </w:rPr>
    </w:lvl>
  </w:abstractNum>
  <w:abstractNum w:abstractNumId="1">
    <w:nsid w:val="23147014"/>
    <w:multiLevelType w:val="singleLevel"/>
    <w:tmpl w:val="2314701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020EF"/>
    <w:rsid w:val="0D564DFD"/>
    <w:rsid w:val="0DB57CB4"/>
    <w:rsid w:val="0E8845BE"/>
    <w:rsid w:val="14274190"/>
    <w:rsid w:val="168459D5"/>
    <w:rsid w:val="1AE81873"/>
    <w:rsid w:val="1C9A5481"/>
    <w:rsid w:val="20221513"/>
    <w:rsid w:val="21C276E9"/>
    <w:rsid w:val="2B95569E"/>
    <w:rsid w:val="37A570FA"/>
    <w:rsid w:val="3E6A6D4F"/>
    <w:rsid w:val="4A9A5B32"/>
    <w:rsid w:val="4AF01932"/>
    <w:rsid w:val="4DD57ADF"/>
    <w:rsid w:val="524C14DA"/>
    <w:rsid w:val="536974C6"/>
    <w:rsid w:val="53CB15B5"/>
    <w:rsid w:val="577C6C0C"/>
    <w:rsid w:val="590F614C"/>
    <w:rsid w:val="6186789B"/>
    <w:rsid w:val="63B32BC4"/>
    <w:rsid w:val="64CB5136"/>
    <w:rsid w:val="66C21BC8"/>
    <w:rsid w:val="6ACE46AB"/>
    <w:rsid w:val="6B0851D1"/>
    <w:rsid w:val="76EA0E72"/>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标题 1 Char"/>
    <w:basedOn w:val="6"/>
    <w:link w:val="2"/>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6"/>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Y.</cp:lastModifiedBy>
  <cp:lastPrinted>2021-04-06T06:39:00Z</cp:lastPrinted>
  <dcterms:modified xsi:type="dcterms:W3CDTF">2022-03-04T08:01:15Z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3E97905B655948BA8BA8E4ECB74AC60B</vt:lpwstr>
  </property>
</Properties>
</file>