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11D" w:rsidRDefault="008C711D" w:rsidP="008C711D">
      <w:pPr>
        <w:spacing w:line="360" w:lineRule="exact"/>
        <w:rPr>
          <w:rFonts w:eastAsia="方正小标宋简体"/>
          <w:sz w:val="44"/>
          <w:szCs w:val="44"/>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3</w:t>
      </w:r>
    </w:p>
    <w:p w:rsidR="008C711D" w:rsidRDefault="008C711D" w:rsidP="008C711D">
      <w:pPr>
        <w:spacing w:line="660" w:lineRule="exact"/>
        <w:jc w:val="center"/>
        <w:rPr>
          <w:rFonts w:eastAsia="方正小标宋简体"/>
          <w:sz w:val="44"/>
          <w:szCs w:val="44"/>
        </w:rPr>
      </w:pPr>
      <w:r>
        <w:rPr>
          <w:rFonts w:ascii="Times New Roman" w:eastAsia="方正小标宋简体" w:hAnsi="方正小标宋简体" w:cs="方正小标宋简体" w:hint="eastAsia"/>
          <w:sz w:val="44"/>
          <w:szCs w:val="44"/>
        </w:rPr>
        <w:t>部门整体支出绩效自评报告</w:t>
      </w:r>
    </w:p>
    <w:p w:rsidR="008C711D" w:rsidRDefault="008C711D" w:rsidP="008C711D">
      <w:pPr>
        <w:rPr>
          <w:sz w:val="32"/>
          <w:szCs w:val="32"/>
        </w:rPr>
      </w:pPr>
    </w:p>
    <w:p w:rsidR="008C711D" w:rsidRPr="008C711D" w:rsidRDefault="008C711D" w:rsidP="008C711D">
      <w:pPr>
        <w:pStyle w:val="a3"/>
        <w:numPr>
          <w:ilvl w:val="0"/>
          <w:numId w:val="1"/>
        </w:numPr>
        <w:spacing w:line="600" w:lineRule="exact"/>
        <w:ind w:firstLineChars="0"/>
        <w:rPr>
          <w:rFonts w:ascii="Times New Roman" w:eastAsia="黑体" w:hAnsi="Times New Roman" w:cs="黑体"/>
          <w:sz w:val="32"/>
          <w:szCs w:val="32"/>
        </w:rPr>
      </w:pPr>
      <w:r w:rsidRPr="008C711D">
        <w:rPr>
          <w:rFonts w:ascii="Times New Roman" w:eastAsia="黑体" w:hAnsi="Times New Roman" w:cs="黑体" w:hint="eastAsia"/>
          <w:sz w:val="32"/>
          <w:szCs w:val="32"/>
        </w:rPr>
        <w:t>预算单位基本情况</w:t>
      </w:r>
    </w:p>
    <w:p w:rsidR="008C711D" w:rsidRDefault="008C711D" w:rsidP="008C711D">
      <w:pPr>
        <w:pStyle w:val="a4"/>
        <w:spacing w:before="0" w:beforeAutospacing="0" w:after="0" w:afterAutospacing="0" w:line="560" w:lineRule="exact"/>
        <w:ind w:firstLineChars="200" w:firstLine="640"/>
        <w:textAlignment w:val="baseline"/>
        <w:rPr>
          <w:rFonts w:ascii="Times New Roman" w:eastAsia="仿宋" w:hAnsi="仿宋" w:cs="Times New Roman"/>
          <w:color w:val="000000"/>
          <w:sz w:val="32"/>
          <w:szCs w:val="32"/>
          <w:bdr w:val="none" w:sz="0" w:space="0" w:color="auto" w:frame="1"/>
        </w:rPr>
      </w:pPr>
      <w:r>
        <w:rPr>
          <w:rFonts w:ascii="Times New Roman" w:eastAsia="仿宋" w:hAnsi="仿宋" w:cs="Times New Roman" w:hint="eastAsia"/>
          <w:color w:val="000000"/>
          <w:sz w:val="32"/>
          <w:szCs w:val="32"/>
          <w:bdr w:val="none" w:sz="0" w:space="0" w:color="auto" w:frame="1"/>
        </w:rPr>
        <w:t>株洲市</w:t>
      </w:r>
      <w:proofErr w:type="gramStart"/>
      <w:r>
        <w:rPr>
          <w:rFonts w:ascii="Times New Roman" w:eastAsia="仿宋" w:hAnsi="仿宋" w:cs="Times New Roman" w:hint="eastAsia"/>
          <w:color w:val="000000"/>
          <w:sz w:val="32"/>
          <w:szCs w:val="32"/>
          <w:bdr w:val="none" w:sz="0" w:space="0" w:color="auto" w:frame="1"/>
        </w:rPr>
        <w:t>渌</w:t>
      </w:r>
      <w:proofErr w:type="gramEnd"/>
      <w:r>
        <w:rPr>
          <w:rFonts w:ascii="Times New Roman" w:eastAsia="仿宋" w:hAnsi="仿宋" w:cs="Times New Roman" w:hint="eastAsia"/>
          <w:color w:val="000000"/>
          <w:sz w:val="32"/>
          <w:szCs w:val="32"/>
          <w:bdr w:val="none" w:sz="0" w:space="0" w:color="auto" w:frame="1"/>
        </w:rPr>
        <w:t>口区机关事务服务中心是区人民政府主管后勤工作的正科级事业单位，现有股室</w:t>
      </w:r>
      <w:r>
        <w:rPr>
          <w:rFonts w:ascii="Times New Roman" w:eastAsia="仿宋" w:hAnsi="仿宋" w:cs="Times New Roman" w:hint="eastAsia"/>
          <w:color w:val="000000"/>
          <w:sz w:val="32"/>
          <w:szCs w:val="32"/>
          <w:bdr w:val="none" w:sz="0" w:space="0" w:color="auto" w:frame="1"/>
        </w:rPr>
        <w:t>5</w:t>
      </w:r>
      <w:r>
        <w:rPr>
          <w:rFonts w:ascii="Times New Roman" w:eastAsia="仿宋" w:hAnsi="仿宋" w:cs="Times New Roman" w:hint="eastAsia"/>
          <w:color w:val="000000"/>
          <w:sz w:val="32"/>
          <w:szCs w:val="32"/>
          <w:bdr w:val="none" w:sz="0" w:space="0" w:color="auto" w:frame="1"/>
        </w:rPr>
        <w:t>个，在职人员</w:t>
      </w:r>
      <w:r>
        <w:rPr>
          <w:rFonts w:ascii="Times New Roman" w:eastAsia="仿宋" w:hAnsi="仿宋" w:cs="Times New Roman" w:hint="eastAsia"/>
          <w:color w:val="000000"/>
          <w:sz w:val="32"/>
          <w:szCs w:val="32"/>
          <w:bdr w:val="none" w:sz="0" w:space="0" w:color="auto" w:frame="1"/>
        </w:rPr>
        <w:t>15</w:t>
      </w:r>
      <w:r>
        <w:rPr>
          <w:rFonts w:ascii="Times New Roman" w:eastAsia="仿宋" w:hAnsi="仿宋" w:cs="Times New Roman" w:hint="eastAsia"/>
          <w:color w:val="000000"/>
          <w:sz w:val="32"/>
          <w:szCs w:val="32"/>
          <w:bdr w:val="none" w:sz="0" w:space="0" w:color="auto" w:frame="1"/>
        </w:rPr>
        <w:t>人，离休人员</w:t>
      </w:r>
      <w:r>
        <w:rPr>
          <w:rFonts w:ascii="Times New Roman" w:eastAsia="仿宋" w:hAnsi="仿宋" w:cs="Times New Roman" w:hint="eastAsia"/>
          <w:color w:val="000000"/>
          <w:sz w:val="32"/>
          <w:szCs w:val="32"/>
          <w:bdr w:val="none" w:sz="0" w:space="0" w:color="auto" w:frame="1"/>
        </w:rPr>
        <w:t>0</w:t>
      </w:r>
      <w:r>
        <w:rPr>
          <w:rFonts w:ascii="Times New Roman" w:eastAsia="仿宋" w:hAnsi="仿宋" w:cs="Times New Roman" w:hint="eastAsia"/>
          <w:color w:val="000000"/>
          <w:sz w:val="32"/>
          <w:szCs w:val="32"/>
          <w:bdr w:val="none" w:sz="0" w:space="0" w:color="auto" w:frame="1"/>
        </w:rPr>
        <w:t>人，退休人员</w:t>
      </w:r>
      <w:r>
        <w:rPr>
          <w:rFonts w:ascii="Times New Roman" w:eastAsia="仿宋" w:hAnsi="仿宋" w:cs="Times New Roman" w:hint="eastAsia"/>
          <w:color w:val="000000"/>
          <w:sz w:val="32"/>
          <w:szCs w:val="32"/>
          <w:bdr w:val="none" w:sz="0" w:space="0" w:color="auto" w:frame="1"/>
        </w:rPr>
        <w:t>13</w:t>
      </w:r>
      <w:r>
        <w:rPr>
          <w:rFonts w:ascii="Times New Roman" w:eastAsia="仿宋" w:hAnsi="仿宋" w:cs="Times New Roman" w:hint="eastAsia"/>
          <w:color w:val="000000"/>
          <w:sz w:val="32"/>
          <w:szCs w:val="32"/>
          <w:bdr w:val="none" w:sz="0" w:space="0" w:color="auto" w:frame="1"/>
        </w:rPr>
        <w:t>人，属区一级预算单位。无下设单位或机构。</w:t>
      </w:r>
    </w:p>
    <w:p w:rsidR="008C711D" w:rsidRPr="008C711D" w:rsidRDefault="008C711D" w:rsidP="008C711D">
      <w:pPr>
        <w:pStyle w:val="a4"/>
        <w:spacing w:before="0" w:beforeAutospacing="0" w:after="0" w:afterAutospacing="0" w:line="560" w:lineRule="exact"/>
        <w:ind w:firstLineChars="200" w:firstLine="640"/>
        <w:textAlignment w:val="baseline"/>
        <w:rPr>
          <w:rFonts w:ascii="Times New Roman" w:eastAsia="仿宋" w:hAnsi="仿宋" w:cs="Times New Roman"/>
          <w:color w:val="000000"/>
          <w:sz w:val="32"/>
          <w:szCs w:val="32"/>
          <w:bdr w:val="none" w:sz="0" w:space="0" w:color="auto" w:frame="1"/>
        </w:rPr>
      </w:pPr>
      <w:r>
        <w:rPr>
          <w:rFonts w:ascii="Times New Roman" w:eastAsia="仿宋" w:hAnsi="仿宋" w:cs="Times New Roman" w:hint="eastAsia"/>
          <w:color w:val="000000"/>
          <w:sz w:val="32"/>
          <w:szCs w:val="32"/>
          <w:bdr w:val="none" w:sz="0" w:space="0" w:color="auto" w:frame="1"/>
        </w:rPr>
        <w:t>全系统共有人员</w:t>
      </w:r>
      <w:r>
        <w:rPr>
          <w:rFonts w:ascii="Times New Roman" w:eastAsia="仿宋" w:hAnsi="仿宋" w:cs="Times New Roman" w:hint="eastAsia"/>
          <w:color w:val="000000"/>
          <w:sz w:val="32"/>
          <w:szCs w:val="32"/>
          <w:bdr w:val="none" w:sz="0" w:space="0" w:color="auto" w:frame="1"/>
        </w:rPr>
        <w:t>28</w:t>
      </w:r>
      <w:r>
        <w:rPr>
          <w:rFonts w:ascii="Times New Roman" w:eastAsia="仿宋" w:hAnsi="仿宋" w:cs="Times New Roman" w:hint="eastAsia"/>
          <w:color w:val="000000"/>
          <w:sz w:val="32"/>
          <w:szCs w:val="32"/>
          <w:bdr w:val="none" w:sz="0" w:space="0" w:color="auto" w:frame="1"/>
        </w:rPr>
        <w:t>人，其中在职人员</w:t>
      </w:r>
      <w:r>
        <w:rPr>
          <w:rFonts w:ascii="Times New Roman" w:eastAsia="仿宋" w:hAnsi="仿宋" w:cs="Times New Roman" w:hint="eastAsia"/>
          <w:color w:val="000000"/>
          <w:sz w:val="32"/>
          <w:szCs w:val="32"/>
          <w:bdr w:val="none" w:sz="0" w:space="0" w:color="auto" w:frame="1"/>
        </w:rPr>
        <w:t>15</w:t>
      </w:r>
      <w:r>
        <w:rPr>
          <w:rFonts w:ascii="Times New Roman" w:eastAsia="仿宋" w:hAnsi="仿宋" w:cs="Times New Roman" w:hint="eastAsia"/>
          <w:color w:val="000000"/>
          <w:sz w:val="32"/>
          <w:szCs w:val="32"/>
          <w:bdr w:val="none" w:sz="0" w:space="0" w:color="auto" w:frame="1"/>
        </w:rPr>
        <w:t>人，离休人员</w:t>
      </w:r>
      <w:r>
        <w:rPr>
          <w:rFonts w:ascii="Times New Roman" w:eastAsia="仿宋" w:hAnsi="仿宋" w:cs="Times New Roman" w:hint="eastAsia"/>
          <w:color w:val="000000"/>
          <w:sz w:val="32"/>
          <w:szCs w:val="32"/>
          <w:bdr w:val="none" w:sz="0" w:space="0" w:color="auto" w:frame="1"/>
        </w:rPr>
        <w:t>0</w:t>
      </w:r>
      <w:r>
        <w:rPr>
          <w:rFonts w:ascii="Times New Roman" w:eastAsia="仿宋" w:hAnsi="仿宋" w:cs="Times New Roman" w:hint="eastAsia"/>
          <w:color w:val="000000"/>
          <w:sz w:val="32"/>
          <w:szCs w:val="32"/>
          <w:bdr w:val="none" w:sz="0" w:space="0" w:color="auto" w:frame="1"/>
        </w:rPr>
        <w:t>人，退休人员</w:t>
      </w:r>
      <w:r>
        <w:rPr>
          <w:rFonts w:ascii="Times New Roman" w:eastAsia="仿宋" w:hAnsi="仿宋" w:cs="Times New Roman" w:hint="eastAsia"/>
          <w:color w:val="000000"/>
          <w:sz w:val="32"/>
          <w:szCs w:val="32"/>
          <w:bdr w:val="none" w:sz="0" w:space="0" w:color="auto" w:frame="1"/>
        </w:rPr>
        <w:t>13</w:t>
      </w:r>
      <w:r>
        <w:rPr>
          <w:rFonts w:ascii="Times New Roman" w:eastAsia="仿宋" w:hAnsi="仿宋" w:cs="Times New Roman" w:hint="eastAsia"/>
          <w:color w:val="000000"/>
          <w:sz w:val="32"/>
          <w:szCs w:val="32"/>
          <w:bdr w:val="none" w:sz="0" w:space="0" w:color="auto" w:frame="1"/>
        </w:rPr>
        <w:t>人。</w:t>
      </w:r>
    </w:p>
    <w:p w:rsidR="008C711D" w:rsidRDefault="008C711D" w:rsidP="008C711D">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sz w:val="32"/>
          <w:szCs w:val="32"/>
        </w:rPr>
        <w:t>二、一般公共预算支出情况</w:t>
      </w:r>
    </w:p>
    <w:p w:rsidR="008C711D" w:rsidRDefault="008C711D" w:rsidP="008C711D">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sz w:val="32"/>
          <w:szCs w:val="32"/>
        </w:rPr>
        <w:t>（一）基本支出情况</w:t>
      </w:r>
    </w:p>
    <w:p w:rsidR="008C711D" w:rsidRPr="008C711D" w:rsidRDefault="008C711D" w:rsidP="008C711D">
      <w:pPr>
        <w:pStyle w:val="a4"/>
        <w:spacing w:before="0" w:beforeAutospacing="0" w:after="0" w:afterAutospacing="0" w:line="560" w:lineRule="exact"/>
        <w:ind w:firstLineChars="200" w:firstLine="640"/>
        <w:textAlignment w:val="baseline"/>
        <w:rPr>
          <w:rFonts w:ascii="Times New Roman" w:eastAsia="仿宋" w:hAnsi="仿宋" w:cs="Times New Roman"/>
          <w:color w:val="000000"/>
          <w:sz w:val="32"/>
          <w:szCs w:val="32"/>
          <w:bdr w:val="none" w:sz="0" w:space="0" w:color="auto" w:frame="1"/>
        </w:rPr>
      </w:pPr>
      <w:r>
        <w:rPr>
          <w:rFonts w:ascii="Times New Roman" w:eastAsia="楷体_GB2312" w:hAnsi="Times New Roman"/>
          <w:sz w:val="32"/>
          <w:szCs w:val="32"/>
        </w:rPr>
        <w:t>本单位</w:t>
      </w:r>
      <w:r>
        <w:rPr>
          <w:rFonts w:ascii="Times New Roman" w:eastAsia="楷体_GB2312" w:hAnsi="Times New Roman"/>
          <w:sz w:val="32"/>
          <w:szCs w:val="32"/>
        </w:rPr>
        <w:t>2021</w:t>
      </w:r>
      <w:r>
        <w:rPr>
          <w:rFonts w:ascii="Times New Roman" w:eastAsia="楷体_GB2312" w:hAnsi="Times New Roman"/>
          <w:sz w:val="32"/>
          <w:szCs w:val="32"/>
        </w:rPr>
        <w:t>年预算</w:t>
      </w:r>
      <w:r>
        <w:rPr>
          <w:rFonts w:ascii="Times New Roman" w:eastAsia="楷体_GB2312" w:hAnsi="Times New Roman"/>
          <w:sz w:val="32"/>
          <w:szCs w:val="32"/>
        </w:rPr>
        <w:t>953</w:t>
      </w:r>
      <w:r>
        <w:rPr>
          <w:rFonts w:ascii="Times New Roman" w:eastAsia="楷体_GB2312" w:hAnsi="Times New Roman"/>
          <w:sz w:val="32"/>
          <w:szCs w:val="32"/>
        </w:rPr>
        <w:t>万元，其中基本支出</w:t>
      </w:r>
      <w:r>
        <w:rPr>
          <w:rFonts w:ascii="Times New Roman" w:eastAsia="楷体_GB2312" w:hAnsi="Times New Roman"/>
          <w:sz w:val="32"/>
          <w:szCs w:val="32"/>
        </w:rPr>
        <w:t>235.49</w:t>
      </w:r>
      <w:r>
        <w:rPr>
          <w:rFonts w:ascii="Times New Roman" w:eastAsia="楷体_GB2312" w:hAnsi="Times New Roman"/>
          <w:sz w:val="32"/>
          <w:szCs w:val="32"/>
        </w:rPr>
        <w:t>万</w:t>
      </w:r>
      <w:r>
        <w:rPr>
          <w:rFonts w:ascii="Times New Roman" w:eastAsia="楷体_GB2312" w:hAnsi="Times New Roman" w:hint="eastAsia"/>
          <w:sz w:val="32"/>
          <w:szCs w:val="32"/>
        </w:rPr>
        <w:t>元。其中工资福利支出</w:t>
      </w:r>
      <w:r>
        <w:rPr>
          <w:rFonts w:ascii="Times New Roman" w:eastAsia="楷体_GB2312" w:hAnsi="Times New Roman" w:hint="eastAsia"/>
          <w:sz w:val="32"/>
          <w:szCs w:val="32"/>
        </w:rPr>
        <w:t>208.03</w:t>
      </w:r>
      <w:r>
        <w:rPr>
          <w:rFonts w:ascii="Times New Roman" w:eastAsia="楷体_GB2312" w:hAnsi="Times New Roman" w:hint="eastAsia"/>
          <w:sz w:val="32"/>
          <w:szCs w:val="32"/>
        </w:rPr>
        <w:t>万元，商品和服务支出</w:t>
      </w:r>
      <w:r>
        <w:rPr>
          <w:rFonts w:ascii="Times New Roman" w:eastAsia="楷体_GB2312" w:hAnsi="Times New Roman" w:hint="eastAsia"/>
          <w:sz w:val="32"/>
          <w:szCs w:val="32"/>
        </w:rPr>
        <w:t>20.81</w:t>
      </w:r>
      <w:r>
        <w:rPr>
          <w:rFonts w:ascii="Times New Roman" w:eastAsia="楷体_GB2312" w:hAnsi="Times New Roman" w:hint="eastAsia"/>
          <w:sz w:val="32"/>
          <w:szCs w:val="32"/>
        </w:rPr>
        <w:t>万元，对个人和家庭的补助</w:t>
      </w:r>
      <w:r>
        <w:rPr>
          <w:rFonts w:ascii="Times New Roman" w:eastAsia="楷体_GB2312" w:hAnsi="Times New Roman" w:hint="eastAsia"/>
          <w:sz w:val="32"/>
          <w:szCs w:val="32"/>
        </w:rPr>
        <w:t>6.65</w:t>
      </w:r>
      <w:r>
        <w:rPr>
          <w:rFonts w:ascii="Times New Roman" w:eastAsia="楷体_GB2312" w:hAnsi="Times New Roman" w:hint="eastAsia"/>
          <w:sz w:val="32"/>
          <w:szCs w:val="32"/>
        </w:rPr>
        <w:t>万元。</w:t>
      </w:r>
    </w:p>
    <w:p w:rsidR="008C711D" w:rsidRDefault="008C711D" w:rsidP="008C711D">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sz w:val="32"/>
          <w:szCs w:val="32"/>
        </w:rPr>
        <w:t>（二）项目支出情况</w:t>
      </w:r>
    </w:p>
    <w:p w:rsidR="008C711D" w:rsidRDefault="008C711D" w:rsidP="008C711D">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一是</w:t>
      </w:r>
      <w:r>
        <w:rPr>
          <w:rFonts w:ascii="Times New Roman" w:eastAsia="仿宋_GB2312" w:hAnsi="Times New Roman" w:cs="Times New Roman" w:hint="eastAsia"/>
          <w:sz w:val="32"/>
          <w:szCs w:val="32"/>
        </w:rPr>
        <w:t>2021</w:t>
      </w:r>
      <w:r>
        <w:rPr>
          <w:rFonts w:ascii="Times New Roman" w:eastAsia="仿宋_GB2312" w:hAnsi="Times New Roman" w:cs="仿宋_GB2312" w:hint="eastAsia"/>
          <w:sz w:val="32"/>
          <w:szCs w:val="32"/>
        </w:rPr>
        <w:t>年度专项资金分配安排和使用管理情况：包括</w:t>
      </w:r>
      <w:r w:rsidR="00432C4A">
        <w:rPr>
          <w:rFonts w:ascii="Times New Roman" w:eastAsia="仿宋_GB2312" w:hAnsi="Times New Roman" w:cs="仿宋_GB2312" w:hint="eastAsia"/>
          <w:sz w:val="32"/>
          <w:szCs w:val="32"/>
        </w:rPr>
        <w:t>机关服务</w:t>
      </w:r>
      <w:r>
        <w:rPr>
          <w:rFonts w:ascii="Times New Roman" w:eastAsia="仿宋_GB2312" w:hAnsi="Times New Roman" w:cs="仿宋_GB2312" w:hint="eastAsia"/>
          <w:sz w:val="32"/>
          <w:szCs w:val="32"/>
        </w:rPr>
        <w:t>2</w:t>
      </w:r>
      <w:r w:rsidR="00432C4A">
        <w:rPr>
          <w:rFonts w:ascii="Times New Roman" w:eastAsia="仿宋_GB2312" w:hAnsi="Times New Roman" w:cs="仿宋_GB2312" w:hint="eastAsia"/>
          <w:sz w:val="32"/>
          <w:szCs w:val="32"/>
        </w:rPr>
        <w:t>31.6</w:t>
      </w:r>
      <w:r>
        <w:rPr>
          <w:rFonts w:ascii="Times New Roman" w:eastAsia="仿宋_GB2312" w:hAnsi="Times New Roman" w:cs="仿宋_GB2312" w:hint="eastAsia"/>
          <w:sz w:val="32"/>
          <w:szCs w:val="32"/>
        </w:rPr>
        <w:t>万元，</w:t>
      </w:r>
      <w:r w:rsidRPr="008C711D">
        <w:rPr>
          <w:rFonts w:ascii="Times New Roman" w:eastAsia="仿宋_GB2312" w:hAnsi="Times New Roman" w:cs="仿宋_GB2312" w:hint="eastAsia"/>
          <w:sz w:val="32"/>
          <w:szCs w:val="32"/>
        </w:rPr>
        <w:t>机关物业管理费</w:t>
      </w:r>
      <w:r w:rsidRPr="008C711D">
        <w:rPr>
          <w:rFonts w:ascii="Times New Roman" w:eastAsia="仿宋_GB2312" w:hAnsi="Times New Roman" w:cs="仿宋_GB2312"/>
          <w:sz w:val="32"/>
          <w:szCs w:val="32"/>
        </w:rPr>
        <w:t>485.91</w:t>
      </w:r>
      <w:r>
        <w:rPr>
          <w:rFonts w:ascii="Times New Roman" w:eastAsia="仿宋_GB2312" w:hAnsi="Times New Roman" w:cs="仿宋_GB2312" w:hint="eastAsia"/>
          <w:sz w:val="32"/>
          <w:szCs w:val="32"/>
        </w:rPr>
        <w:t>万元。</w:t>
      </w:r>
    </w:p>
    <w:p w:rsidR="008C711D" w:rsidRDefault="008C711D" w:rsidP="008C711D">
      <w:pPr>
        <w:spacing w:line="600" w:lineRule="exact"/>
        <w:ind w:firstLineChars="200" w:firstLine="640"/>
        <w:rPr>
          <w:rFonts w:eastAsia="仿宋_GB2312"/>
          <w:sz w:val="32"/>
          <w:szCs w:val="32"/>
        </w:rPr>
      </w:pPr>
      <w:r>
        <w:rPr>
          <w:rFonts w:ascii="Times New Roman" w:eastAsia="仿宋_GB2312" w:hAnsi="Times New Roman" w:cs="仿宋_GB2312" w:hint="eastAsia"/>
          <w:sz w:val="32"/>
          <w:szCs w:val="32"/>
        </w:rPr>
        <w:t>二是除专项资金以外的其他项目支出情况。</w:t>
      </w:r>
      <w:r w:rsidR="00EE1568">
        <w:rPr>
          <w:rFonts w:ascii="Times New Roman" w:eastAsia="仿宋_GB2312" w:hAnsi="Times New Roman" w:cs="仿宋_GB2312" w:hint="eastAsia"/>
          <w:sz w:val="32"/>
          <w:szCs w:val="32"/>
        </w:rPr>
        <w:t>公务用车运行维护费</w:t>
      </w:r>
      <w:r w:rsidR="00EE1568">
        <w:rPr>
          <w:rFonts w:ascii="Times New Roman" w:eastAsia="仿宋_GB2312" w:hAnsi="Times New Roman" w:cs="仿宋_GB2312" w:hint="eastAsia"/>
          <w:sz w:val="32"/>
          <w:szCs w:val="32"/>
        </w:rPr>
        <w:t>1141</w:t>
      </w:r>
      <w:r w:rsidR="00EE1568">
        <w:rPr>
          <w:rFonts w:ascii="Times New Roman" w:eastAsia="仿宋_GB2312" w:hAnsi="Times New Roman" w:cs="仿宋_GB2312" w:hint="eastAsia"/>
          <w:sz w:val="32"/>
          <w:szCs w:val="32"/>
        </w:rPr>
        <w:t>万元，机关服务</w:t>
      </w:r>
      <w:r w:rsidR="00EE1568">
        <w:rPr>
          <w:rFonts w:ascii="Times New Roman" w:eastAsia="仿宋_GB2312" w:hAnsi="Times New Roman" w:cs="仿宋_GB2312" w:hint="eastAsia"/>
          <w:sz w:val="32"/>
          <w:szCs w:val="32"/>
        </w:rPr>
        <w:t>700</w:t>
      </w:r>
      <w:r w:rsidR="00EE1568">
        <w:rPr>
          <w:rFonts w:ascii="Times New Roman" w:eastAsia="仿宋_GB2312" w:hAnsi="Times New Roman" w:cs="仿宋_GB2312" w:hint="eastAsia"/>
          <w:sz w:val="32"/>
          <w:szCs w:val="32"/>
        </w:rPr>
        <w:t>万元，物业管理费</w:t>
      </w:r>
      <w:r w:rsidR="00EE1568" w:rsidRPr="00EE1568">
        <w:rPr>
          <w:rFonts w:ascii="Times New Roman" w:eastAsia="仿宋_GB2312" w:hAnsi="Times New Roman" w:cs="仿宋_GB2312"/>
          <w:sz w:val="32"/>
          <w:szCs w:val="32"/>
        </w:rPr>
        <w:t>485.91</w:t>
      </w:r>
      <w:r w:rsidR="00EE1568">
        <w:rPr>
          <w:rFonts w:ascii="Times New Roman" w:eastAsia="仿宋_GB2312" w:hAnsi="Times New Roman" w:cs="仿宋_GB2312" w:hint="eastAsia"/>
          <w:sz w:val="32"/>
          <w:szCs w:val="32"/>
        </w:rPr>
        <w:t>万元。</w:t>
      </w:r>
    </w:p>
    <w:p w:rsidR="008C711D" w:rsidRDefault="008C711D" w:rsidP="008C711D">
      <w:pPr>
        <w:spacing w:line="600" w:lineRule="exact"/>
        <w:ind w:firstLineChars="200" w:firstLine="640"/>
        <w:rPr>
          <w:rFonts w:eastAsia="黑体"/>
          <w:sz w:val="32"/>
          <w:szCs w:val="32"/>
        </w:rPr>
      </w:pPr>
      <w:r>
        <w:rPr>
          <w:rFonts w:ascii="Times New Roman" w:eastAsia="黑体" w:hAnsi="Times New Roman" w:cs="黑体" w:hint="eastAsia"/>
          <w:sz w:val="32"/>
          <w:szCs w:val="32"/>
        </w:rPr>
        <w:t>三、部门整体支出绩效情况</w:t>
      </w:r>
    </w:p>
    <w:p w:rsidR="008C711D" w:rsidRDefault="008C711D" w:rsidP="008C711D">
      <w:pPr>
        <w:pStyle w:val="a4"/>
        <w:shd w:val="clear" w:color="auto" w:fill="FFFFFF"/>
        <w:spacing w:before="0" w:beforeAutospacing="0" w:after="0" w:afterAutospacing="0" w:line="326" w:lineRule="atLeast"/>
        <w:ind w:firstLineChars="200" w:firstLine="640"/>
        <w:rPr>
          <w:rFonts w:ascii="仿宋_GB2312" w:eastAsia="仿宋_GB2312" w:hAnsi="仿宋" w:cs="Times New Roman"/>
          <w:color w:val="000000"/>
          <w:kern w:val="2"/>
          <w:sz w:val="32"/>
          <w:szCs w:val="32"/>
        </w:rPr>
      </w:pPr>
      <w:r w:rsidRPr="004277CA">
        <w:rPr>
          <w:rFonts w:ascii="仿宋_GB2312" w:eastAsia="仿宋_GB2312" w:hAnsi="仿宋" w:cs="Times New Roman" w:hint="eastAsia"/>
          <w:color w:val="000000"/>
          <w:kern w:val="2"/>
          <w:sz w:val="32"/>
          <w:szCs w:val="32"/>
        </w:rPr>
        <w:t>1、本单位预算绩效管理完成情况：本单位组织对2021</w:t>
      </w:r>
      <w:r w:rsidRPr="00EE1568">
        <w:rPr>
          <w:rFonts w:ascii="仿宋_GB2312" w:eastAsia="仿宋_GB2312" w:hAnsi="仿宋" w:cs="Times New Roman" w:hint="eastAsia"/>
          <w:color w:val="000000"/>
          <w:kern w:val="2"/>
          <w:sz w:val="32"/>
          <w:szCs w:val="32"/>
        </w:rPr>
        <w:t>年度部门基本支出和项目支出开展了绩效自评，共涉及资金</w:t>
      </w:r>
      <w:r w:rsidR="000C07A6">
        <w:rPr>
          <w:rFonts w:ascii="仿宋_GB2312" w:eastAsia="仿宋_GB2312" w:hAnsi="仿宋" w:hint="eastAsia"/>
          <w:color w:val="000000"/>
          <w:sz w:val="32"/>
          <w:szCs w:val="32"/>
        </w:rPr>
        <w:lastRenderedPageBreak/>
        <w:t>3024.55</w:t>
      </w:r>
      <w:r w:rsidRPr="00EE1568">
        <w:rPr>
          <w:rFonts w:ascii="仿宋_GB2312" w:eastAsia="仿宋_GB2312" w:hAnsi="仿宋" w:cs="Times New Roman" w:hint="eastAsia"/>
          <w:color w:val="000000"/>
          <w:kern w:val="2"/>
          <w:sz w:val="32"/>
          <w:szCs w:val="32"/>
        </w:rPr>
        <w:t>万元，其中基本支出</w:t>
      </w:r>
      <w:r w:rsidR="000C07A6">
        <w:rPr>
          <w:rFonts w:ascii="仿宋_GB2312" w:eastAsia="仿宋_GB2312" w:hAnsi="仿宋" w:hint="eastAsia"/>
          <w:color w:val="000000"/>
          <w:sz w:val="32"/>
          <w:szCs w:val="32"/>
        </w:rPr>
        <w:t>697.64</w:t>
      </w:r>
      <w:r w:rsidRPr="00EE1568">
        <w:rPr>
          <w:rFonts w:ascii="仿宋_GB2312" w:eastAsia="仿宋_GB2312" w:hAnsi="仿宋" w:cs="Times New Roman" w:hint="eastAsia"/>
          <w:color w:val="000000"/>
          <w:kern w:val="2"/>
          <w:sz w:val="32"/>
          <w:szCs w:val="32"/>
        </w:rPr>
        <w:t>万元，占总支出</w:t>
      </w:r>
      <w:r w:rsidR="000C07A6">
        <w:rPr>
          <w:rFonts w:ascii="仿宋_GB2312" w:eastAsia="仿宋_GB2312" w:hAnsi="仿宋" w:cs="Times New Roman" w:hint="eastAsia"/>
          <w:color w:val="000000"/>
          <w:kern w:val="2"/>
          <w:sz w:val="32"/>
          <w:szCs w:val="32"/>
        </w:rPr>
        <w:t>23.07</w:t>
      </w:r>
      <w:r w:rsidRPr="00EE1568">
        <w:rPr>
          <w:rFonts w:ascii="仿宋_GB2312" w:eastAsia="仿宋_GB2312" w:hAnsi="仿宋" w:cs="Times New Roman" w:hint="eastAsia"/>
          <w:color w:val="000000"/>
          <w:kern w:val="2"/>
          <w:sz w:val="32"/>
          <w:szCs w:val="32"/>
        </w:rPr>
        <w:t>%，项目支出</w:t>
      </w:r>
      <w:r w:rsidR="00EE1568" w:rsidRPr="00EE1568">
        <w:rPr>
          <w:rFonts w:ascii="仿宋_GB2312" w:eastAsia="仿宋_GB2312" w:hAnsi="仿宋" w:hint="eastAsia"/>
          <w:color w:val="000000"/>
          <w:sz w:val="32"/>
          <w:szCs w:val="32"/>
        </w:rPr>
        <w:t>2326.91</w:t>
      </w:r>
      <w:r w:rsidRPr="00EE1568">
        <w:rPr>
          <w:rFonts w:ascii="仿宋_GB2312" w:eastAsia="仿宋_GB2312" w:hAnsi="仿宋" w:cs="Times New Roman" w:hint="eastAsia"/>
          <w:color w:val="000000"/>
          <w:kern w:val="2"/>
          <w:sz w:val="32"/>
          <w:szCs w:val="32"/>
        </w:rPr>
        <w:t>万元，占总支出</w:t>
      </w:r>
      <w:r w:rsidR="000C07A6">
        <w:rPr>
          <w:rFonts w:ascii="仿宋_GB2312" w:eastAsia="仿宋_GB2312" w:hAnsi="仿宋" w:hint="eastAsia"/>
          <w:color w:val="000000"/>
          <w:sz w:val="32"/>
          <w:szCs w:val="32"/>
        </w:rPr>
        <w:t>76.93</w:t>
      </w:r>
      <w:r w:rsidRPr="00EE1568">
        <w:rPr>
          <w:rFonts w:ascii="仿宋_GB2312" w:eastAsia="仿宋_GB2312" w:hAnsi="仿宋" w:cs="Times New Roman"/>
          <w:color w:val="000000"/>
          <w:kern w:val="2"/>
          <w:sz w:val="32"/>
          <w:szCs w:val="32"/>
        </w:rPr>
        <w:t>%</w:t>
      </w:r>
      <w:r w:rsidRPr="00EE1568">
        <w:rPr>
          <w:rFonts w:ascii="仿宋_GB2312" w:eastAsia="仿宋_GB2312" w:hAnsi="仿宋" w:cs="Times New Roman" w:hint="eastAsia"/>
          <w:color w:val="000000"/>
          <w:kern w:val="2"/>
          <w:sz w:val="32"/>
          <w:szCs w:val="32"/>
        </w:rPr>
        <w:t>。根据预算绩效管理要求，本部门在日常工作中切实强化</w:t>
      </w:r>
      <w:r w:rsidRPr="004277CA">
        <w:rPr>
          <w:rFonts w:ascii="仿宋_GB2312" w:eastAsia="仿宋_GB2312" w:hAnsi="仿宋" w:cs="Times New Roman" w:hint="eastAsia"/>
          <w:color w:val="000000"/>
          <w:kern w:val="2"/>
          <w:sz w:val="32"/>
          <w:szCs w:val="32"/>
        </w:rPr>
        <w:t>预算监督，提高预算执行效率，逐步由</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事后控制</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转向</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事中控制</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和</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事前控制</w:t>
      </w:r>
      <w:r w:rsidRPr="004277CA">
        <w:rPr>
          <w:rFonts w:ascii="仿宋_GB2312" w:eastAsia="仿宋_GB2312" w:hAnsi="仿宋" w:cs="Times New Roman"/>
          <w:color w:val="000000"/>
          <w:kern w:val="2"/>
          <w:sz w:val="32"/>
          <w:szCs w:val="32"/>
        </w:rPr>
        <w:t>”</w:t>
      </w:r>
      <w:r w:rsidRPr="004277CA">
        <w:rPr>
          <w:rFonts w:ascii="仿宋_GB2312" w:eastAsia="仿宋_GB2312" w:hAnsi="仿宋" w:cs="Times New Roman" w:hint="eastAsia"/>
          <w:color w:val="000000"/>
          <w:kern w:val="2"/>
          <w:sz w:val="32"/>
          <w:szCs w:val="32"/>
        </w:rPr>
        <w:t>。坚持民主集中制，大额项目资金的支出由单位领导班子成员集体讨论决定，所有项目资金都确保专款专用，杜绝截留、挤占、挪用现象。从评价情况来看，程序完整规范，预算执行及时有效，绩效目标得到较好实现，绩效管理水平不断提高，绩效指标体系建设逐渐丰富和完善。</w:t>
      </w:r>
    </w:p>
    <w:p w:rsidR="008C711D" w:rsidRPr="004277CA" w:rsidRDefault="008C711D" w:rsidP="008C711D">
      <w:pPr>
        <w:pStyle w:val="a4"/>
        <w:shd w:val="clear" w:color="auto" w:fill="FFFFFF"/>
        <w:spacing w:before="0" w:beforeAutospacing="0" w:after="0" w:afterAutospacing="0" w:line="326" w:lineRule="atLeast"/>
        <w:ind w:firstLineChars="200" w:firstLine="640"/>
        <w:rPr>
          <w:rFonts w:ascii="仿宋_GB2312" w:eastAsia="仿宋_GB2312" w:hAnsi="仿宋" w:cs="Times New Roman"/>
          <w:color w:val="000000"/>
          <w:kern w:val="2"/>
          <w:sz w:val="32"/>
          <w:szCs w:val="32"/>
        </w:rPr>
      </w:pPr>
      <w:r>
        <w:rPr>
          <w:rFonts w:ascii="仿宋_GB2312" w:eastAsia="仿宋_GB2312" w:hAnsi="仿宋" w:cs="Times New Roman" w:hint="eastAsia"/>
          <w:color w:val="000000"/>
          <w:kern w:val="2"/>
          <w:sz w:val="32"/>
          <w:szCs w:val="32"/>
        </w:rPr>
        <w:t>2</w:t>
      </w:r>
      <w:r w:rsidRPr="004277CA">
        <w:rPr>
          <w:rFonts w:ascii="仿宋_GB2312" w:eastAsia="仿宋_GB2312" w:hAnsi="仿宋" w:cs="Times New Roman" w:hint="eastAsia"/>
          <w:color w:val="000000"/>
          <w:kern w:val="2"/>
          <w:sz w:val="32"/>
          <w:szCs w:val="32"/>
        </w:rPr>
        <w:t>、本单位整理支出绩效目标实现情况：一是落实县委、县政府文件精神，积极履职，强化管理，较好的完成了年度工作目标；二是通过加强预算收支管理，不断建立健全内部管理制度，梳理内部管理流程，部门整体支出管理情况得到提升；三是项目绩效评价情况：2021年项目总支出</w:t>
      </w:r>
      <w:r w:rsidR="000C07A6" w:rsidRPr="00EE1568">
        <w:rPr>
          <w:rFonts w:ascii="仿宋_GB2312" w:eastAsia="仿宋_GB2312" w:hAnsi="仿宋" w:hint="eastAsia"/>
          <w:color w:val="000000"/>
          <w:sz w:val="32"/>
          <w:szCs w:val="32"/>
        </w:rPr>
        <w:t>2326.91</w:t>
      </w:r>
      <w:r w:rsidRPr="004277CA">
        <w:rPr>
          <w:rFonts w:ascii="仿宋_GB2312" w:eastAsia="仿宋_GB2312" w:hAnsi="仿宋" w:cs="Times New Roman" w:hint="eastAsia"/>
          <w:color w:val="000000"/>
          <w:kern w:val="2"/>
          <w:sz w:val="32"/>
          <w:szCs w:val="32"/>
        </w:rPr>
        <w:t>万元，主要为物业管理费。项目支出绩效评价：一是项目支出依据财经法律法规支出，合理合法；二是项目支出依照进度支付，产出指标和效益指标可控。</w:t>
      </w:r>
    </w:p>
    <w:p w:rsidR="008C711D" w:rsidRDefault="008C711D" w:rsidP="008C711D">
      <w:pPr>
        <w:pStyle w:val="msolistparagraph0"/>
        <w:widowControl/>
        <w:spacing w:line="600" w:lineRule="exact"/>
        <w:rPr>
          <w:rFonts w:ascii="Times New Roman" w:eastAsia="黑体" w:hAnsi="Times New Roman" w:hint="default"/>
          <w:sz w:val="32"/>
          <w:szCs w:val="32"/>
        </w:rPr>
      </w:pPr>
      <w:r>
        <w:rPr>
          <w:rFonts w:ascii="Times New Roman" w:eastAsia="黑体" w:hAnsi="Times New Roman"/>
          <w:sz w:val="32"/>
          <w:szCs w:val="32"/>
        </w:rPr>
        <w:t>四、存在的问题及原因分析</w:t>
      </w:r>
    </w:p>
    <w:p w:rsidR="008C711D" w:rsidRDefault="008C711D" w:rsidP="008C711D">
      <w:pPr>
        <w:spacing w:line="600" w:lineRule="exact"/>
        <w:ind w:firstLineChars="200" w:firstLine="640"/>
        <w:rPr>
          <w:rFonts w:eastAsia="仿宋"/>
          <w:sz w:val="18"/>
          <w:szCs w:val="18"/>
        </w:rPr>
      </w:pPr>
      <w:r>
        <w:rPr>
          <w:rFonts w:ascii="Times New Roman" w:eastAsia="仿宋_GB2312" w:hAnsi="Times New Roman" w:cs="仿宋_GB2312" w:hint="eastAsia"/>
          <w:sz w:val="32"/>
          <w:szCs w:val="32"/>
        </w:rPr>
        <w:t>主要反映各种预算支出执行偏离绩效目标的情况，并分析其原因。</w:t>
      </w:r>
    </w:p>
    <w:p w:rsidR="008C711D" w:rsidRPr="004277CA" w:rsidRDefault="008C711D" w:rsidP="008C711D">
      <w:pPr>
        <w:pStyle w:val="a4"/>
        <w:spacing w:before="0" w:beforeAutospacing="0" w:after="0" w:afterAutospacing="0" w:line="408" w:lineRule="atLeast"/>
        <w:rPr>
          <w:rFonts w:ascii="仿宋_GB2312" w:eastAsia="仿宋_GB2312" w:hAnsi="仿宋" w:cs="Times New Roman"/>
          <w:color w:val="000000"/>
          <w:kern w:val="2"/>
          <w:sz w:val="32"/>
          <w:szCs w:val="32"/>
        </w:rPr>
      </w:pPr>
      <w:r w:rsidRPr="004277CA">
        <w:rPr>
          <w:rFonts w:ascii="仿宋_GB2312" w:eastAsia="仿宋_GB2312" w:hAnsi="仿宋" w:cs="Times New Roman" w:hint="eastAsia"/>
          <w:color w:val="000000"/>
          <w:kern w:val="2"/>
          <w:sz w:val="32"/>
          <w:szCs w:val="32"/>
        </w:rPr>
        <w:t xml:space="preserve"> </w:t>
      </w:r>
      <w:r>
        <w:rPr>
          <w:rFonts w:ascii="仿宋_GB2312" w:eastAsia="仿宋_GB2312" w:hAnsi="仿宋" w:cs="Times New Roman" w:hint="eastAsia"/>
          <w:color w:val="000000"/>
          <w:kern w:val="2"/>
          <w:sz w:val="32"/>
          <w:szCs w:val="32"/>
        </w:rPr>
        <w:t xml:space="preserve">    无</w:t>
      </w:r>
    </w:p>
    <w:p w:rsidR="008C711D" w:rsidRDefault="008C711D" w:rsidP="008C711D">
      <w:pPr>
        <w:spacing w:line="60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五、下一步改进措施</w:t>
      </w:r>
    </w:p>
    <w:p w:rsidR="008C711D" w:rsidRDefault="008C711D" w:rsidP="008C711D">
      <w:pPr>
        <w:spacing w:line="600" w:lineRule="exact"/>
        <w:ind w:firstLineChars="200" w:firstLine="640"/>
        <w:rPr>
          <w:rFonts w:eastAsia="黑体"/>
          <w:sz w:val="32"/>
          <w:szCs w:val="32"/>
        </w:rPr>
      </w:pPr>
      <w:r>
        <w:rPr>
          <w:rFonts w:ascii="Times New Roman" w:eastAsia="黑体" w:hAnsi="Times New Roman" w:cs="黑体" w:hint="eastAsia"/>
          <w:sz w:val="32"/>
          <w:szCs w:val="32"/>
        </w:rPr>
        <w:lastRenderedPageBreak/>
        <w:t>无</w:t>
      </w:r>
    </w:p>
    <w:p w:rsidR="008C711D" w:rsidRDefault="008C711D" w:rsidP="008C711D">
      <w:pPr>
        <w:spacing w:line="60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六、绩效自评结果拟应用和公开情况</w:t>
      </w:r>
    </w:p>
    <w:p w:rsidR="004B0B0E" w:rsidRDefault="004B0B0E" w:rsidP="004B0B0E">
      <w:pPr>
        <w:spacing w:line="600" w:lineRule="exact"/>
        <w:rPr>
          <w:rFonts w:eastAsia="仿宋_GB2312"/>
          <w:sz w:val="32"/>
          <w:szCs w:val="32"/>
        </w:rPr>
      </w:pPr>
      <w:r>
        <w:rPr>
          <w:rFonts w:eastAsia="仿宋_GB2312" w:hint="eastAsia"/>
          <w:sz w:val="32"/>
          <w:szCs w:val="32"/>
        </w:rPr>
        <w:t>公开绩效目标表及绩效自评表</w:t>
      </w:r>
    </w:p>
    <w:p w:rsidR="00494CE3" w:rsidRPr="00EE1568" w:rsidRDefault="00494CE3"/>
    <w:sectPr w:rsidR="00494CE3" w:rsidRPr="00EE1568" w:rsidSect="00F012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244F"/>
    <w:multiLevelType w:val="hybridMultilevel"/>
    <w:tmpl w:val="9692D816"/>
    <w:lvl w:ilvl="0" w:tplc="56D8291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711D"/>
    <w:rsid w:val="00001ADE"/>
    <w:rsid w:val="00002DE0"/>
    <w:rsid w:val="00005E95"/>
    <w:rsid w:val="00013088"/>
    <w:rsid w:val="00024DB3"/>
    <w:rsid w:val="00024F46"/>
    <w:rsid w:val="000441A5"/>
    <w:rsid w:val="0004427B"/>
    <w:rsid w:val="00044DE7"/>
    <w:rsid w:val="00044EC3"/>
    <w:rsid w:val="00052529"/>
    <w:rsid w:val="00060D0E"/>
    <w:rsid w:val="00064BD0"/>
    <w:rsid w:val="00066886"/>
    <w:rsid w:val="000677DD"/>
    <w:rsid w:val="000734F5"/>
    <w:rsid w:val="000756DC"/>
    <w:rsid w:val="000942B8"/>
    <w:rsid w:val="00095E84"/>
    <w:rsid w:val="0009653F"/>
    <w:rsid w:val="00097AA9"/>
    <w:rsid w:val="000A4F1E"/>
    <w:rsid w:val="000B0BC6"/>
    <w:rsid w:val="000B562D"/>
    <w:rsid w:val="000C07A6"/>
    <w:rsid w:val="000C59D6"/>
    <w:rsid w:val="000C6914"/>
    <w:rsid w:val="000D440E"/>
    <w:rsid w:val="000E297A"/>
    <w:rsid w:val="000E7AC3"/>
    <w:rsid w:val="000F3D0C"/>
    <w:rsid w:val="000F55C5"/>
    <w:rsid w:val="001009B4"/>
    <w:rsid w:val="00106E6E"/>
    <w:rsid w:val="00113A75"/>
    <w:rsid w:val="00116681"/>
    <w:rsid w:val="00124C87"/>
    <w:rsid w:val="0013499D"/>
    <w:rsid w:val="00136B92"/>
    <w:rsid w:val="00137AFD"/>
    <w:rsid w:val="00142B43"/>
    <w:rsid w:val="00142F7E"/>
    <w:rsid w:val="001503D6"/>
    <w:rsid w:val="001578AE"/>
    <w:rsid w:val="00161AD4"/>
    <w:rsid w:val="00161B47"/>
    <w:rsid w:val="001906A1"/>
    <w:rsid w:val="001962BA"/>
    <w:rsid w:val="00197C74"/>
    <w:rsid w:val="00197D38"/>
    <w:rsid w:val="001A37AD"/>
    <w:rsid w:val="001A3FAA"/>
    <w:rsid w:val="001B2E92"/>
    <w:rsid w:val="001C414E"/>
    <w:rsid w:val="001C54A0"/>
    <w:rsid w:val="001C5798"/>
    <w:rsid w:val="001C5E39"/>
    <w:rsid w:val="001C72E2"/>
    <w:rsid w:val="001C763A"/>
    <w:rsid w:val="001E5AF7"/>
    <w:rsid w:val="001E661F"/>
    <w:rsid w:val="001F24AD"/>
    <w:rsid w:val="001F3F58"/>
    <w:rsid w:val="00203974"/>
    <w:rsid w:val="00220073"/>
    <w:rsid w:val="00220655"/>
    <w:rsid w:val="0022125F"/>
    <w:rsid w:val="00221702"/>
    <w:rsid w:val="00222C98"/>
    <w:rsid w:val="00224079"/>
    <w:rsid w:val="002320B5"/>
    <w:rsid w:val="00233D5A"/>
    <w:rsid w:val="00241FE2"/>
    <w:rsid w:val="00273049"/>
    <w:rsid w:val="00274347"/>
    <w:rsid w:val="002841CB"/>
    <w:rsid w:val="00286835"/>
    <w:rsid w:val="00292EBA"/>
    <w:rsid w:val="002B4B77"/>
    <w:rsid w:val="002B521F"/>
    <w:rsid w:val="002C4802"/>
    <w:rsid w:val="002C5944"/>
    <w:rsid w:val="002C76E8"/>
    <w:rsid w:val="002E237B"/>
    <w:rsid w:val="002F45E1"/>
    <w:rsid w:val="002F587E"/>
    <w:rsid w:val="0031799F"/>
    <w:rsid w:val="003268E1"/>
    <w:rsid w:val="0033188A"/>
    <w:rsid w:val="0033490F"/>
    <w:rsid w:val="00337E91"/>
    <w:rsid w:val="00341147"/>
    <w:rsid w:val="0034126E"/>
    <w:rsid w:val="0034632D"/>
    <w:rsid w:val="00346CD9"/>
    <w:rsid w:val="00353D81"/>
    <w:rsid w:val="00354528"/>
    <w:rsid w:val="00355FC4"/>
    <w:rsid w:val="00362891"/>
    <w:rsid w:val="00363AE3"/>
    <w:rsid w:val="00364B59"/>
    <w:rsid w:val="00372130"/>
    <w:rsid w:val="00374367"/>
    <w:rsid w:val="00376DE7"/>
    <w:rsid w:val="0037709A"/>
    <w:rsid w:val="00381BFB"/>
    <w:rsid w:val="00391713"/>
    <w:rsid w:val="00392EB6"/>
    <w:rsid w:val="003A3879"/>
    <w:rsid w:val="003A38C9"/>
    <w:rsid w:val="003A4E59"/>
    <w:rsid w:val="003B2106"/>
    <w:rsid w:val="003B5F9A"/>
    <w:rsid w:val="003B6466"/>
    <w:rsid w:val="003D7180"/>
    <w:rsid w:val="003D7454"/>
    <w:rsid w:val="003D7465"/>
    <w:rsid w:val="003E1B65"/>
    <w:rsid w:val="003E2925"/>
    <w:rsid w:val="003E3977"/>
    <w:rsid w:val="003F2BB9"/>
    <w:rsid w:val="003F5531"/>
    <w:rsid w:val="0041043A"/>
    <w:rsid w:val="0042087A"/>
    <w:rsid w:val="00422EFC"/>
    <w:rsid w:val="00423C39"/>
    <w:rsid w:val="00427EDC"/>
    <w:rsid w:val="0043226D"/>
    <w:rsid w:val="00432C4A"/>
    <w:rsid w:val="004367E9"/>
    <w:rsid w:val="004472DF"/>
    <w:rsid w:val="00447CF9"/>
    <w:rsid w:val="00450B17"/>
    <w:rsid w:val="004521A9"/>
    <w:rsid w:val="0045758C"/>
    <w:rsid w:val="00457CA9"/>
    <w:rsid w:val="0047388E"/>
    <w:rsid w:val="00473A72"/>
    <w:rsid w:val="00477061"/>
    <w:rsid w:val="0048017C"/>
    <w:rsid w:val="00484A24"/>
    <w:rsid w:val="00493884"/>
    <w:rsid w:val="00494CE3"/>
    <w:rsid w:val="00497E62"/>
    <w:rsid w:val="004A123E"/>
    <w:rsid w:val="004B0315"/>
    <w:rsid w:val="004B0B0E"/>
    <w:rsid w:val="004B4650"/>
    <w:rsid w:val="004B52CF"/>
    <w:rsid w:val="004C6355"/>
    <w:rsid w:val="004D1EB1"/>
    <w:rsid w:val="004D3B0D"/>
    <w:rsid w:val="004F0218"/>
    <w:rsid w:val="004F5422"/>
    <w:rsid w:val="004F6BD6"/>
    <w:rsid w:val="00501591"/>
    <w:rsid w:val="0050795C"/>
    <w:rsid w:val="0051046B"/>
    <w:rsid w:val="00513EB7"/>
    <w:rsid w:val="00517979"/>
    <w:rsid w:val="005335DB"/>
    <w:rsid w:val="005371B2"/>
    <w:rsid w:val="00542B16"/>
    <w:rsid w:val="00544034"/>
    <w:rsid w:val="00545523"/>
    <w:rsid w:val="00546EB0"/>
    <w:rsid w:val="00555F2A"/>
    <w:rsid w:val="00557CE0"/>
    <w:rsid w:val="005611DD"/>
    <w:rsid w:val="00582A15"/>
    <w:rsid w:val="00587C97"/>
    <w:rsid w:val="005944C3"/>
    <w:rsid w:val="00596463"/>
    <w:rsid w:val="005A2D92"/>
    <w:rsid w:val="005A3364"/>
    <w:rsid w:val="005A3F73"/>
    <w:rsid w:val="005A6832"/>
    <w:rsid w:val="005A70DE"/>
    <w:rsid w:val="005A7D6E"/>
    <w:rsid w:val="005C46F4"/>
    <w:rsid w:val="005C592B"/>
    <w:rsid w:val="005D2A30"/>
    <w:rsid w:val="005D7838"/>
    <w:rsid w:val="005D7C14"/>
    <w:rsid w:val="005E1085"/>
    <w:rsid w:val="005E34E9"/>
    <w:rsid w:val="005E39E7"/>
    <w:rsid w:val="005E4806"/>
    <w:rsid w:val="005E52C8"/>
    <w:rsid w:val="005F1997"/>
    <w:rsid w:val="005F1A4E"/>
    <w:rsid w:val="005F6E92"/>
    <w:rsid w:val="00601703"/>
    <w:rsid w:val="00607F9F"/>
    <w:rsid w:val="00612235"/>
    <w:rsid w:val="0061460F"/>
    <w:rsid w:val="0062420C"/>
    <w:rsid w:val="006257BD"/>
    <w:rsid w:val="00642847"/>
    <w:rsid w:val="00654318"/>
    <w:rsid w:val="006625A3"/>
    <w:rsid w:val="0066676E"/>
    <w:rsid w:val="00666E08"/>
    <w:rsid w:val="006713E5"/>
    <w:rsid w:val="00676C94"/>
    <w:rsid w:val="00685B7E"/>
    <w:rsid w:val="00691136"/>
    <w:rsid w:val="0069201D"/>
    <w:rsid w:val="00692AFE"/>
    <w:rsid w:val="006A12A6"/>
    <w:rsid w:val="006A5B73"/>
    <w:rsid w:val="006A731A"/>
    <w:rsid w:val="006A77BA"/>
    <w:rsid w:val="006B04DB"/>
    <w:rsid w:val="006B0CD8"/>
    <w:rsid w:val="006D09E1"/>
    <w:rsid w:val="006D6D7B"/>
    <w:rsid w:val="006E205D"/>
    <w:rsid w:val="006E3E08"/>
    <w:rsid w:val="006E62BB"/>
    <w:rsid w:val="006F0E9F"/>
    <w:rsid w:val="00705532"/>
    <w:rsid w:val="0070643C"/>
    <w:rsid w:val="00710223"/>
    <w:rsid w:val="00714C41"/>
    <w:rsid w:val="00723342"/>
    <w:rsid w:val="00737FFC"/>
    <w:rsid w:val="00742D18"/>
    <w:rsid w:val="007462A8"/>
    <w:rsid w:val="00756F20"/>
    <w:rsid w:val="00760C3E"/>
    <w:rsid w:val="00783E4F"/>
    <w:rsid w:val="0079766F"/>
    <w:rsid w:val="007976EA"/>
    <w:rsid w:val="007A002A"/>
    <w:rsid w:val="007A10FD"/>
    <w:rsid w:val="007A2F9E"/>
    <w:rsid w:val="007B0263"/>
    <w:rsid w:val="007B1A8E"/>
    <w:rsid w:val="007B65BF"/>
    <w:rsid w:val="007B71C7"/>
    <w:rsid w:val="007C630E"/>
    <w:rsid w:val="007C7118"/>
    <w:rsid w:val="007D4383"/>
    <w:rsid w:val="007D4D73"/>
    <w:rsid w:val="007E5F8E"/>
    <w:rsid w:val="007F117C"/>
    <w:rsid w:val="007F6681"/>
    <w:rsid w:val="00800B5F"/>
    <w:rsid w:val="00804ACE"/>
    <w:rsid w:val="00807C94"/>
    <w:rsid w:val="00815DBF"/>
    <w:rsid w:val="00817053"/>
    <w:rsid w:val="008170B8"/>
    <w:rsid w:val="008208F7"/>
    <w:rsid w:val="00825369"/>
    <w:rsid w:val="00826D13"/>
    <w:rsid w:val="0084141D"/>
    <w:rsid w:val="008458FD"/>
    <w:rsid w:val="008463E5"/>
    <w:rsid w:val="008612F0"/>
    <w:rsid w:val="008621AD"/>
    <w:rsid w:val="00862D3D"/>
    <w:rsid w:val="008731A3"/>
    <w:rsid w:val="0087711D"/>
    <w:rsid w:val="00882F53"/>
    <w:rsid w:val="00891BD5"/>
    <w:rsid w:val="00893CFD"/>
    <w:rsid w:val="00894869"/>
    <w:rsid w:val="00897E58"/>
    <w:rsid w:val="008A0E65"/>
    <w:rsid w:val="008C4864"/>
    <w:rsid w:val="008C711D"/>
    <w:rsid w:val="008D1EE3"/>
    <w:rsid w:val="008D6BE0"/>
    <w:rsid w:val="008D75E5"/>
    <w:rsid w:val="008E2A8E"/>
    <w:rsid w:val="008F2122"/>
    <w:rsid w:val="008F55E5"/>
    <w:rsid w:val="008F654B"/>
    <w:rsid w:val="008F74D2"/>
    <w:rsid w:val="00902444"/>
    <w:rsid w:val="00902923"/>
    <w:rsid w:val="00926BB3"/>
    <w:rsid w:val="00952556"/>
    <w:rsid w:val="00952D80"/>
    <w:rsid w:val="00955E85"/>
    <w:rsid w:val="00975881"/>
    <w:rsid w:val="009933A2"/>
    <w:rsid w:val="009939AD"/>
    <w:rsid w:val="009A2467"/>
    <w:rsid w:val="009B1EB6"/>
    <w:rsid w:val="009B425D"/>
    <w:rsid w:val="009C112A"/>
    <w:rsid w:val="009D0BE8"/>
    <w:rsid w:val="009D47CE"/>
    <w:rsid w:val="009E2137"/>
    <w:rsid w:val="009E531F"/>
    <w:rsid w:val="009F5E44"/>
    <w:rsid w:val="009F7EE0"/>
    <w:rsid w:val="00A05AD2"/>
    <w:rsid w:val="00A11934"/>
    <w:rsid w:val="00A1534E"/>
    <w:rsid w:val="00A16C49"/>
    <w:rsid w:val="00A16C73"/>
    <w:rsid w:val="00A259D2"/>
    <w:rsid w:val="00A312B2"/>
    <w:rsid w:val="00A33C41"/>
    <w:rsid w:val="00A40E31"/>
    <w:rsid w:val="00A47730"/>
    <w:rsid w:val="00A533EC"/>
    <w:rsid w:val="00A57500"/>
    <w:rsid w:val="00A65D91"/>
    <w:rsid w:val="00A721E5"/>
    <w:rsid w:val="00A76476"/>
    <w:rsid w:val="00A904C8"/>
    <w:rsid w:val="00A936C1"/>
    <w:rsid w:val="00A97B33"/>
    <w:rsid w:val="00AA608B"/>
    <w:rsid w:val="00AB2C9E"/>
    <w:rsid w:val="00AB3EC1"/>
    <w:rsid w:val="00AD3292"/>
    <w:rsid w:val="00AD4661"/>
    <w:rsid w:val="00AE69F9"/>
    <w:rsid w:val="00AF2745"/>
    <w:rsid w:val="00B0379F"/>
    <w:rsid w:val="00B03C1E"/>
    <w:rsid w:val="00B042C3"/>
    <w:rsid w:val="00B05B86"/>
    <w:rsid w:val="00B06346"/>
    <w:rsid w:val="00B073EC"/>
    <w:rsid w:val="00B12283"/>
    <w:rsid w:val="00B33EB3"/>
    <w:rsid w:val="00B35A3F"/>
    <w:rsid w:val="00B464D3"/>
    <w:rsid w:val="00B47B16"/>
    <w:rsid w:val="00B55B50"/>
    <w:rsid w:val="00B60CB8"/>
    <w:rsid w:val="00B60D48"/>
    <w:rsid w:val="00B81138"/>
    <w:rsid w:val="00B8649D"/>
    <w:rsid w:val="00B90652"/>
    <w:rsid w:val="00B954EB"/>
    <w:rsid w:val="00B958A2"/>
    <w:rsid w:val="00B96D1A"/>
    <w:rsid w:val="00B9766C"/>
    <w:rsid w:val="00BB665A"/>
    <w:rsid w:val="00BC417D"/>
    <w:rsid w:val="00BD32CD"/>
    <w:rsid w:val="00BD53C2"/>
    <w:rsid w:val="00BD75C5"/>
    <w:rsid w:val="00BD7C5C"/>
    <w:rsid w:val="00BE290C"/>
    <w:rsid w:val="00BE65A7"/>
    <w:rsid w:val="00BF04CB"/>
    <w:rsid w:val="00BF1092"/>
    <w:rsid w:val="00BF18E0"/>
    <w:rsid w:val="00C020A1"/>
    <w:rsid w:val="00C022BF"/>
    <w:rsid w:val="00C1084A"/>
    <w:rsid w:val="00C139F1"/>
    <w:rsid w:val="00C221D9"/>
    <w:rsid w:val="00C23A64"/>
    <w:rsid w:val="00C2769E"/>
    <w:rsid w:val="00C32C8E"/>
    <w:rsid w:val="00C33E29"/>
    <w:rsid w:val="00C35FED"/>
    <w:rsid w:val="00C42856"/>
    <w:rsid w:val="00C46DCE"/>
    <w:rsid w:val="00C554A3"/>
    <w:rsid w:val="00C648AC"/>
    <w:rsid w:val="00C67773"/>
    <w:rsid w:val="00C71C9A"/>
    <w:rsid w:val="00C73E9F"/>
    <w:rsid w:val="00C778B3"/>
    <w:rsid w:val="00C93AD9"/>
    <w:rsid w:val="00C93C02"/>
    <w:rsid w:val="00CA0C84"/>
    <w:rsid w:val="00CA7986"/>
    <w:rsid w:val="00CB3216"/>
    <w:rsid w:val="00CB4B6D"/>
    <w:rsid w:val="00CB714B"/>
    <w:rsid w:val="00CC09A6"/>
    <w:rsid w:val="00CC7CDD"/>
    <w:rsid w:val="00CD5E6C"/>
    <w:rsid w:val="00CE71F6"/>
    <w:rsid w:val="00CE7285"/>
    <w:rsid w:val="00CF6368"/>
    <w:rsid w:val="00CF771B"/>
    <w:rsid w:val="00CF7F2C"/>
    <w:rsid w:val="00D004D8"/>
    <w:rsid w:val="00D1682A"/>
    <w:rsid w:val="00D17E41"/>
    <w:rsid w:val="00D264F9"/>
    <w:rsid w:val="00D268A4"/>
    <w:rsid w:val="00D30F0A"/>
    <w:rsid w:val="00D31B89"/>
    <w:rsid w:val="00D45732"/>
    <w:rsid w:val="00D47C0B"/>
    <w:rsid w:val="00D5463D"/>
    <w:rsid w:val="00D548B8"/>
    <w:rsid w:val="00D63AF4"/>
    <w:rsid w:val="00D6678A"/>
    <w:rsid w:val="00D7315F"/>
    <w:rsid w:val="00D75850"/>
    <w:rsid w:val="00D808FE"/>
    <w:rsid w:val="00D97633"/>
    <w:rsid w:val="00DA6933"/>
    <w:rsid w:val="00DB0233"/>
    <w:rsid w:val="00DB20C2"/>
    <w:rsid w:val="00DB469F"/>
    <w:rsid w:val="00DC44ED"/>
    <w:rsid w:val="00DC4A9B"/>
    <w:rsid w:val="00DC6471"/>
    <w:rsid w:val="00DC7BF8"/>
    <w:rsid w:val="00DD4088"/>
    <w:rsid w:val="00DE3411"/>
    <w:rsid w:val="00E02D9D"/>
    <w:rsid w:val="00E049D4"/>
    <w:rsid w:val="00E0613F"/>
    <w:rsid w:val="00E120A7"/>
    <w:rsid w:val="00E12E05"/>
    <w:rsid w:val="00E20DA0"/>
    <w:rsid w:val="00E460CE"/>
    <w:rsid w:val="00E61C4D"/>
    <w:rsid w:val="00E62E43"/>
    <w:rsid w:val="00E63FB1"/>
    <w:rsid w:val="00E72F1F"/>
    <w:rsid w:val="00E826B8"/>
    <w:rsid w:val="00E834C5"/>
    <w:rsid w:val="00E86B0F"/>
    <w:rsid w:val="00E87286"/>
    <w:rsid w:val="00E878DA"/>
    <w:rsid w:val="00E900A4"/>
    <w:rsid w:val="00EA4AF8"/>
    <w:rsid w:val="00EA4E39"/>
    <w:rsid w:val="00EB127F"/>
    <w:rsid w:val="00EB603F"/>
    <w:rsid w:val="00ED637F"/>
    <w:rsid w:val="00EE1047"/>
    <w:rsid w:val="00EE1568"/>
    <w:rsid w:val="00EE37C5"/>
    <w:rsid w:val="00EF00AD"/>
    <w:rsid w:val="00EF71BB"/>
    <w:rsid w:val="00F00CB7"/>
    <w:rsid w:val="00F01276"/>
    <w:rsid w:val="00F01499"/>
    <w:rsid w:val="00F119D1"/>
    <w:rsid w:val="00F17134"/>
    <w:rsid w:val="00F17802"/>
    <w:rsid w:val="00F26D92"/>
    <w:rsid w:val="00F41535"/>
    <w:rsid w:val="00F5643E"/>
    <w:rsid w:val="00F60AF4"/>
    <w:rsid w:val="00F714C8"/>
    <w:rsid w:val="00F77D52"/>
    <w:rsid w:val="00F875DE"/>
    <w:rsid w:val="00F928E1"/>
    <w:rsid w:val="00F92FD0"/>
    <w:rsid w:val="00F964D2"/>
    <w:rsid w:val="00FA2562"/>
    <w:rsid w:val="00FA3CD5"/>
    <w:rsid w:val="00FA5C7E"/>
    <w:rsid w:val="00FB38B9"/>
    <w:rsid w:val="00FB4DD8"/>
    <w:rsid w:val="00FC047E"/>
    <w:rsid w:val="00FC4108"/>
    <w:rsid w:val="00FC61A3"/>
    <w:rsid w:val="00FE1923"/>
    <w:rsid w:val="00FE1E48"/>
    <w:rsid w:val="00FE56D6"/>
    <w:rsid w:val="00FF18D6"/>
    <w:rsid w:val="00FF203E"/>
    <w:rsid w:val="00FF2EC4"/>
    <w:rsid w:val="00FF6C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11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rsid w:val="008C711D"/>
    <w:pPr>
      <w:ind w:left="1079" w:hanging="309"/>
    </w:pPr>
    <w:rPr>
      <w:rFonts w:ascii="宋体" w:eastAsia="宋体" w:hAnsi="宋体" w:cs="Times New Roman" w:hint="eastAsia"/>
      <w:szCs w:val="22"/>
    </w:rPr>
  </w:style>
  <w:style w:type="paragraph" w:styleId="a3">
    <w:name w:val="List Paragraph"/>
    <w:basedOn w:val="a"/>
    <w:uiPriority w:val="34"/>
    <w:qFormat/>
    <w:rsid w:val="008C711D"/>
    <w:pPr>
      <w:ind w:firstLineChars="200" w:firstLine="420"/>
    </w:pPr>
  </w:style>
  <w:style w:type="paragraph" w:styleId="a4">
    <w:name w:val="Normal (Web)"/>
    <w:basedOn w:val="a"/>
    <w:uiPriority w:val="99"/>
    <w:unhideWhenUsed/>
    <w:rsid w:val="008C711D"/>
    <w:pPr>
      <w:widowControl/>
      <w:spacing w:before="100" w:beforeAutospacing="1" w:after="100" w:afterAutospacing="1"/>
      <w:jc w:val="left"/>
    </w:pPr>
    <w:rPr>
      <w:rFonts w:ascii="宋体" w:eastAsia="宋体" w:hAnsi="宋体" w:cs="宋体"/>
      <w:kern w:val="0"/>
      <w:sz w:val="24"/>
    </w:rPr>
  </w:style>
  <w:style w:type="character" w:styleId="a5">
    <w:name w:val="Hyperlink"/>
    <w:rsid w:val="008C711D"/>
    <w:rPr>
      <w:color w:val="0000FF"/>
      <w:u w:val="single"/>
    </w:rPr>
  </w:style>
</w:styles>
</file>

<file path=word/webSettings.xml><?xml version="1.0" encoding="utf-8"?>
<w:webSettings xmlns:r="http://schemas.openxmlformats.org/officeDocument/2006/relationships" xmlns:w="http://schemas.openxmlformats.org/wordprocessingml/2006/main">
  <w:divs>
    <w:div w:id="1006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147</Words>
  <Characters>838</Characters>
  <Application>Microsoft Office Word</Application>
  <DocSecurity>0</DocSecurity>
  <Lines>6</Lines>
  <Paragraphs>1</Paragraphs>
  <ScaleCrop>false</ScaleCrop>
  <Company>Sky123.Org</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株洲县机关事务服务中心</dc:creator>
  <cp:lastModifiedBy>株洲县机关事务服务中心</cp:lastModifiedBy>
  <cp:revision>7</cp:revision>
  <cp:lastPrinted>2022-03-07T03:08:00Z</cp:lastPrinted>
  <dcterms:created xsi:type="dcterms:W3CDTF">2022-02-24T07:44:00Z</dcterms:created>
  <dcterms:modified xsi:type="dcterms:W3CDTF">2022-03-07T03:09:00Z</dcterms:modified>
</cp:coreProperties>
</file>