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株洲市渌口区行政审批服务局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eastAsia="方正小标宋简体"/>
          <w:sz w:val="44"/>
          <w:szCs w:val="44"/>
          <w:lang w:val="en-US"/>
        </w:rPr>
      </w:pPr>
      <w:r>
        <w:rPr>
          <w:rFonts w:hint="eastAsia" w:ascii="Times New Roman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预算单位基本情况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（一）主要职能：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根据渌办〔2019〕52号文件规定，本部门主要职责是：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1.牵头负责全区行政审批制度改革工作；负责全区重点项目行政审批事项督办工作；负责全区行政许可、公共服务事项、网络审批运行监督工作。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2.统筹协调、监督评估全区电子政务信息化建设工作；统筹推进、监督协调全区“互联网+政务服务”工作；负责全区大数据管理工作。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3.负责全区集中统一办事大厅标准化、规范化建设，负责区政务服务中心进驻部门和人员的日常管理、培训、监督和考核工作。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4.指导推进跨领城、跨部门“放管服”改革工作；维护营商政务、法制等环境；协调、推进全区行政效能工作。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5.完成区委、区政府交办的其他任务。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机构情况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株洲市渌口区行政审批服务局是株洲市渌口区人民政府工作部门，为正科级，下设内设机构5个包括：办公室、行政审批制度改革股、电子政务管理股、窗ロ管理股、优化办。所属事业单位1个，渌口区政务服务中心为副科级公益一类全额拨款事业单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（三）人员情况：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株洲市渌口区行政审批服务局现有编制8人，在职人员6人。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渌口区政务服务中心现有编制11人，在职人员9人（其中参公事业人员2人，非参公事业人员7人），离休人员0人，退休人员2人。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聘请合同工27人，其中负责“互联网+政务服务”相关工作的政府雇员22人，保安2人，保洁1人，负责窗口非税收入集中收缴2人。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全系统共有人员120人，其中在职人员15人，离休人员0人，退休人员2人，政府雇员24人，保安2人，保洁1人，单位入驻人员76人。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center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1.收入支出预算安排情况：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hAnsi="仿宋" w:eastAsia="仿宋_GB2312"/>
          <w:sz w:val="32"/>
          <w:szCs w:val="32"/>
        </w:rPr>
        <w:t>年初预算</w:t>
      </w:r>
      <w:r>
        <w:rPr>
          <w:rFonts w:hint="eastAsia" w:ascii="仿宋_GB2312" w:eastAsia="仿宋_GB2312"/>
          <w:sz w:val="32"/>
          <w:szCs w:val="32"/>
        </w:rPr>
        <w:t>本年收入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491.63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收、支总计与上年</w:t>
      </w:r>
      <w:r>
        <w:rPr>
          <w:rFonts w:hint="eastAsia" w:ascii="仿宋_GB2312" w:hAnsi="仿宋" w:eastAsia="仿宋_GB2312" w:cs="Times New Roman"/>
          <w:sz w:val="32"/>
          <w:szCs w:val="32"/>
        </w:rPr>
        <w:t>年初预算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数比增加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76.03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</w:t>
      </w:r>
      <w:r>
        <w:rPr>
          <w:rFonts w:hint="eastAsia" w:ascii="仿宋_GB2312" w:hAnsi="仿宋" w:eastAsia="仿宋_GB2312" w:cs="Times New Roman"/>
          <w:sz w:val="32"/>
          <w:szCs w:val="32"/>
        </w:rPr>
        <w:t>与上年对比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增加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18.29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/>
        <w:textAlignment w:val="center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增减变化的主要原因是：人员增加，</w:t>
      </w:r>
      <w:r>
        <w:rPr>
          <w:rFonts w:hint="eastAsia" w:ascii="仿宋_GB2312" w:hAnsi="仿宋" w:eastAsia="仿宋_GB2312" w:cs="Times New Roman"/>
          <w:sz w:val="32"/>
          <w:szCs w:val="32"/>
        </w:rPr>
        <w:t>工资调标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trike w:val="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职能调整增加，业务工作经费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516"/>
        <w:textAlignment w:val="center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收入支出预、决算执行情况：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 w:cs="Times New Roman"/>
          <w:sz w:val="32"/>
          <w:szCs w:val="32"/>
        </w:rPr>
        <w:t>年度收入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</w:rPr>
        <w:t>支出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决算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751.85</w:t>
      </w:r>
      <w:r>
        <w:rPr>
          <w:rFonts w:hint="eastAsia" w:ascii="仿宋_GB2312" w:hAnsi="仿宋" w:eastAsia="仿宋_GB2312" w:cs="Times New Roman"/>
          <w:sz w:val="32"/>
          <w:szCs w:val="32"/>
        </w:rPr>
        <w:t>万元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收、支总计与上年决算数比增加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58.7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万元，与上年对比增加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8.47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%。</w:t>
      </w:r>
      <w:r>
        <w:rPr>
          <w:rFonts w:hint="eastAsia" w:ascii="仿宋_GB2312" w:hAnsi="仿宋" w:eastAsia="仿宋_GB2312" w:cs="Times New Roman"/>
          <w:sz w:val="32"/>
          <w:szCs w:val="32"/>
        </w:rPr>
        <w:t>调整原因是：工资调标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，五险一金的缴费基数上调，人员经费增加。</w:t>
      </w:r>
      <w:r>
        <w:rPr>
          <w:rFonts w:hint="eastAsia" w:ascii="仿宋_GB2312" w:hAnsi="仿宋" w:eastAsia="仿宋_GB2312" w:cs="Times New Roman"/>
          <w:strike w:val="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职能调整增加，2021年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渌口区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优化营商活动年，增加业务工作经费。入驻政务大厅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部门和工作人员增加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新增了一处政务服务大厅办公，采购了办公设备。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6" w:firstLineChars="0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一般公共预算财政拨款基本支出决算情况说明：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2021年度一般公共预算财政拨款基本支出751.85万元，主要包括：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工资福利支出328.57万元，其中基本工资56.06万元，津贴补贴57.51万元，奖金34.07万元，绩效工资17.51万元，机关事业单位基本养老保险缴费16.58万元，职工基本医疗保险缴费7.43万元，公务员医疗补助缴费0.51万元，其他社会保障缴费1.23万元，住房公积金16.76万元，其他工资福利支出120.91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商品和服务支出369.47万元，其中办公费51.21万元，印刷费24.11万元，水费0.47万元，电费3.4万元，邮电费17.78万元，物业管理费65.67万元，差旅费2.38万元，维修（护）费34.28万元，培训费11.37万元，公务招待费0.19万元，劳务费3.64万元，委托业务费0.5万元，工会经费13.99万元,福利费2.65万元，其他交通费用11.78万元，其他商品和服务支出126.05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（3）对个人和家庭的补助12.3万元,其中生活补助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0.05万元,奖励金10.91万元，其他对个人和家庭的补助1.34万元。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（4）资本性支出41.51万元，其中办公设备购置41.51万元。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本单位无项目支出。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（一）深化制度改革，提升政府治理能力。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1.强化顶层设计，构建“一件事一次办”新格局。一是高位推动。为进一步落实“马上办、网上办、就近办、一次办”和“一网、一门、一次”政务服务要求，深化“一件事一次办”改革，区领导牵头多次主持召开工作调度会议，对工作难点问题进行专题研究，协调调度。二是示范带动。开展区直单位“一把手”到政务服务中心走流程体验活动，23个部门“一把手”走进政务服务大厅，通过亲身办、代理办、陪同办三种方式体验办事流程，熟悉有关业务，加大“一件事一次办”改革工作力度。全区开展“一件事一次办”回头看整改工作，坚持问题导向，规范事项流程配置，逐步落实落地渌口区有权限246件服务事项“一件事一次办”。三是部门联动。全盘梳理联办事项，进一步厘清部门权责边界，整合行政审批、人社、公安等相关业务，加大协同配合力度，精简材料，共享数据，在株洲范围内率先实现“身后一件事”一次办，办事材料由四个部门21份材料精减至7份材料,办理时限从4个工作日压缩至1个工作日,有效解决群众多头跑、重复提交材料问题,为群众高效办理“身后一件事”，实现“一表申请、一窗受理、一站服务、一次办成”。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强化要素保障，凝聚“一件事一次办”新合力。一是搭建三级平台，强化阵地保障。构建了政务服务“一张网+三级平台”政务服务体系，区直相关部门、镇、村（社区）全部开通电子政务外网。在村公开75项常办事项流程，充分保证办事内容及服务过程的公开透明。二是抓好队伍建设，强化人才保障。创新采用“网格+村（社区）委”业务代办AB岗服务模式。采取“前台综合受理，后台分类审批，窗口统一出证”模式，实现“行政许可”“行政给付”“公共服务”类事项申请资料的“信息化”，1313个事项全程线上审核，真正做到了让“信息多跑路，群众少跑腿”。三是构建评价体系，提升政务服务。按照标准化、规范化要求，对8个镇、试点村（社区）配置“好差评”评价系统，镇、村（社区）政务服务工作面对面接受群众点评，切实增强群众的幸福感和满意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强化改革创新，探索“一件事一次办”新路子。一是积极推进“跨域通办”。我区积极对接省、市其他地区，洽谈政务服务合作。现已与深圳市福田区、衡阳市衡山县构建“跨域”合作模式，签订政务服务“跨省（市）通办”合作协议，设立渌口区“跨省（域）通办”服务专区。通过政务服务异地受理、远程办理、协同联动等形式，渌口区群众在福田区全流程网办事项8大项（含业务办理项39项），代收代办事项48大项（含业务办理项71项），福田区群众在渌口区可办的全流程事项48项，代收代办事项13项；渌口区群众在衡山县可办政务服务事项38项，衡山县群众在渌口区可办事项23项。二是大力推行“一窗通办”。整合市场监管局、银行、公积金业务，设立“一窗通办、一网通办专窗”，将开办企业六个环节整合为一个环节，实现企业设立登记、印章刻制、发票申领在0.5个工作日办结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（二）搭建沟通交流机制，营造公平竞争环境。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完善服务制度，提供“母亲式”服务。今年我局牵头“营商环境优化年”活动，分成7个大组，与43个业务单位进行协调，做好区营商环境优化工作。倡导服务在“实处、宽处、高处、深处、急处”的“母亲式”服务。7月开始开展区领导联点驻企走访，通过走访共收集企业问题36个，已协调解决具体问题26个。营商环境考核通过“月调度、季通报、年评估”机制，形成“管理+实施+考核+创优”的营商环境优化工作闭环，各层面抓实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拓宽工作方法，应对“专业”考试。区委、区政府督查室牵头开展联合督查2轮，对市级下发、督查发现、检查扣分的问题，向相关业务部门下发问题交办函77份并逐一进行回头看；聘请专业机构进行业务指导培训，查找我区营商环境“痛点”“难点”问题，制定我区营商环境工作薄弱环节整改措施。年底由市第三方评估机构对区整体营商环境进行评估，站在企业及群众的立场对各职能部门进行专业客观评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积极对上对外，助力优化营商环境。一是积极完成市优化办和市营商环境协调事务中心交办任务。报送优化营商工作简报10期；刊发我局工作内容的市级以上宣传报道16篇；全面清理排查行业协会与政府部门脱钩问题等。二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zh-CN" w:eastAsia="zh-CN" w:bidi="ar"/>
        </w:rPr>
        <w:t>是积极解决历史遗留问题。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设立涉企投诉专线，畅通投诉维权渠道。承接涉企投诉案件3起，相关部门协同成功解决刘志兵房屋拆迁、上景领秀时代项目阻工等热点、难点问题。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（三）创新服务模式，提供优质便民服务。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做好日常管理，推进政务服务标准化。政务服务中心定期召开窗口负责人会议，总结上月工作，安排部署下月工作。在大厅内设立政务公开专区，提供信息查询、信息公开申请、办事咨询答复等服务。政务大厅自3月15日起，开设了延时服务岗。积极推广注册“一件事一次办”微信小程序和“诸事达”APP应用程序，大力推行掌上办，让人民群众办事更便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加强业务培训，推进政务服务专业化。制定窗口业务学习计划，5、6月份，安排14个部门多个股室的业务骨干对综合窗口工作人员进行业务培训。9月、11月政务服务大厅综合窗口和“一件事一次办”工作人员对8个镇及示范村的便民服务中心（站）工作人员进行多场专场培训指导。通过培训进一步提升窗口工作人员业务，内强素质，外树形象，为群众提供更专业的办事服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创新工作模式，推进政务服务便民化。推行“3+3+1”利民服务模式。为企业及办事群众推出免费复印、免费邮寄证照、免费为新开办企业送印章服务；开展“帮代办”、“午间延时”、周末及法定节假日“预约服务”，积极推进网上办，改变以往工作时间外存在“服务盲点”的现象，更好的落实“便民、规范、优质、高效、廉洁”的便民服务承诺。同时主动开展“送证”上门服务，政务服务变“被动”为“主动”。今年以来，已为两千余位老人送证上门。</w:t>
      </w:r>
    </w:p>
    <w:p>
      <w:pPr>
        <w:pStyle w:val="10"/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年度本单位预算支出执行没有偏离绩效目标的情况，但需要加强单位对预算绩效日常监控，围绕绩效目标，适时监控绩效目标实现程度和预算执行情况。“一件事一次办”、政务服务等工作经费追加过多，建议在年初预算时将“一件事一次办”、政务服务等工作每年都需要支出的经费纳入财政预算。在今后工作中，我们将围绕预算资金，厉行节约，节省不必要的开支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1、进一步完善财务管理体制、运行机制和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监督制度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，建立科学化、精细化的预算管理机制、建立绩效评价制度、加快财务监管体系建设、提高经费使用效益、强化财务风险管理。提高预算编制的科学性、准确性，按照“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量入为出，统筹兼顾、保证重点、收支平衡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的原则，科学合理编制预算，强化预算执行，提高预算执行效率，推进预算公开。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、加强开展预算绩效日常监控，首先要制定相关日常监控具体流程，及时掌握绩效运行情况、资金支出进度等，并定期对绩效监控信息进行收集、审核、分析、汇总、填报。分析偏离绩效目标的原因，并及时采取纠偏措施。为切实做好专项资金管理和使用，确保补贴专项资金的安全、规范、有效的提高资金使用效益。严格按政府会计制度的规定进行会计核算，编制财务报表和预算会计报表。同时进一步健全我局内控制度，严格执行“三重一大”集体决策制度及各项财务制度，加强内部管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center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1、2021年整体支出绩效自评从产出指标、效益指标、满意度指标等方面对整体支出逐项自评得分为98分。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2、按照《湖南省预算支出绩效评价管理办法》(湘财绩〔2020〕7号)要求，依规定的文本格式和要求完成《2021年部门整体支出绩效目标表》、《2021年项目支出绩效目标表》，将本单位绩效自评情况在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株洲市渌口区人民政府门户网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站上全文公开，公开内容全面、真实、完整，接受社会公众监督。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8FB922-B4AD-420A-9550-7094B1DE5B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036F29-944B-445F-8512-36BBDCA96455}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92D82519-01CA-4B7B-B936-E7A748911C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79A478B-A5F4-4FCE-8F41-D99AD1CC516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D55BD07-0901-464D-A11E-5ACF13A7CFD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AB3A2"/>
    <w:multiLevelType w:val="singleLevel"/>
    <w:tmpl w:val="8A4AB3A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6429A3"/>
    <w:multiLevelType w:val="singleLevel"/>
    <w:tmpl w:val="246429A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C9E97D"/>
    <w:multiLevelType w:val="singleLevel"/>
    <w:tmpl w:val="64C9E9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zkzZDA5MTU2ZmIzMmFiNmNhMjUxNmVlMjMxMTYifQ=="/>
  </w:docVars>
  <w:rsids>
    <w:rsidRoot w:val="00000000"/>
    <w:rsid w:val="049D7D49"/>
    <w:rsid w:val="04AD316B"/>
    <w:rsid w:val="0D564DFD"/>
    <w:rsid w:val="0DB57CB4"/>
    <w:rsid w:val="0E8845BE"/>
    <w:rsid w:val="14274190"/>
    <w:rsid w:val="14292D22"/>
    <w:rsid w:val="189E55D0"/>
    <w:rsid w:val="18AC5575"/>
    <w:rsid w:val="1C9A5481"/>
    <w:rsid w:val="1E46140E"/>
    <w:rsid w:val="20221513"/>
    <w:rsid w:val="21C276E9"/>
    <w:rsid w:val="22384D56"/>
    <w:rsid w:val="22457E33"/>
    <w:rsid w:val="229D57F2"/>
    <w:rsid w:val="24A74B37"/>
    <w:rsid w:val="25E536FF"/>
    <w:rsid w:val="278376D2"/>
    <w:rsid w:val="28756970"/>
    <w:rsid w:val="28C4604D"/>
    <w:rsid w:val="29294BDE"/>
    <w:rsid w:val="2B95569E"/>
    <w:rsid w:val="2EC9779A"/>
    <w:rsid w:val="2F8C1AC1"/>
    <w:rsid w:val="307905E4"/>
    <w:rsid w:val="309761B9"/>
    <w:rsid w:val="36364599"/>
    <w:rsid w:val="370B604C"/>
    <w:rsid w:val="37A570FA"/>
    <w:rsid w:val="384A6C3F"/>
    <w:rsid w:val="3A4B20C9"/>
    <w:rsid w:val="3E6A6D4F"/>
    <w:rsid w:val="444D0B12"/>
    <w:rsid w:val="45315951"/>
    <w:rsid w:val="4A9A5B32"/>
    <w:rsid w:val="4AF01932"/>
    <w:rsid w:val="4B361728"/>
    <w:rsid w:val="4DD57ADF"/>
    <w:rsid w:val="524C14DA"/>
    <w:rsid w:val="536974C6"/>
    <w:rsid w:val="53C1483B"/>
    <w:rsid w:val="53CB15B5"/>
    <w:rsid w:val="54CA2191"/>
    <w:rsid w:val="577C6C0C"/>
    <w:rsid w:val="590F614C"/>
    <w:rsid w:val="5C316715"/>
    <w:rsid w:val="5C5C1D58"/>
    <w:rsid w:val="5EE924E5"/>
    <w:rsid w:val="5FA503D3"/>
    <w:rsid w:val="5FD01E0A"/>
    <w:rsid w:val="6186789B"/>
    <w:rsid w:val="63B32BC4"/>
    <w:rsid w:val="64CB5136"/>
    <w:rsid w:val="64EF656E"/>
    <w:rsid w:val="69EC5531"/>
    <w:rsid w:val="6B0851D1"/>
    <w:rsid w:val="6C511D71"/>
    <w:rsid w:val="6EC9381D"/>
    <w:rsid w:val="72BD2535"/>
    <w:rsid w:val="783305A5"/>
    <w:rsid w:val="7A2311C3"/>
    <w:rsid w:val="7A551246"/>
    <w:rsid w:val="7ACA3DF3"/>
    <w:rsid w:val="7B091CEE"/>
    <w:rsid w:val="7B19706D"/>
    <w:rsid w:val="7E706A57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rFonts w:ascii="Calibri" w:hAnsi="Calibri"/>
      <w:szCs w:val="24"/>
    </w:rPr>
  </w:style>
  <w:style w:type="paragraph" w:styleId="4">
    <w:name w:val="Body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Char"/>
    <w:basedOn w:val="7"/>
    <w:link w:val="3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1">
    <w:name w:val="正文文本 Char"/>
    <w:basedOn w:val="7"/>
    <w:link w:val="4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1"/>
    <w:pPr>
      <w:ind w:left="1079" w:hanging="309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4382</Words>
  <Characters>4632</Characters>
  <Lines>0</Lines>
  <Paragraphs>0</Paragraphs>
  <TotalTime>74</TotalTime>
  <ScaleCrop>false</ScaleCrop>
  <LinksUpToDate>false</LinksUpToDate>
  <CharactersWithSpaces>4638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2021-03-22T07:15:00Z</dcterms:created>
  <dc:creator>Administrator</dc:creator>
  <cp:lastModifiedBy>べ心ヤ星う</cp:lastModifiedBy>
  <cp:lastPrinted>2022-02-28T06:21:00Z</cp:lastPrinted>
  <dcterms:modified xsi:type="dcterms:W3CDTF">2022-10-11T01:30:46Z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B93453CFF8054B62BA83FB6E7520FC57</vt:lpwstr>
  </property>
</Properties>
</file>