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0" w:firstLineChars="200"/>
        <w:jc w:val="center"/>
        <w:rPr>
          <w:rFonts w:cs="黑体" w:asciiTheme="minorEastAsia" w:hAnsiTheme="minorEastAsia"/>
          <w:b/>
          <w:color w:val="000000" w:themeColor="text1"/>
          <w:kern w:val="0"/>
          <w:sz w:val="44"/>
          <w:szCs w:val="44"/>
        </w:rPr>
      </w:pPr>
      <w:r>
        <w:rPr>
          <w:rFonts w:hint="eastAsia" w:cs="黑体" w:asciiTheme="minorEastAsia" w:hAnsiTheme="minorEastAsia"/>
          <w:b/>
          <w:color w:val="000000" w:themeColor="text1"/>
          <w:kern w:val="0"/>
          <w:sz w:val="44"/>
          <w:szCs w:val="44"/>
        </w:rPr>
        <w:t>2021年度部门整体支出绩效自评报告</w:t>
      </w:r>
    </w:p>
    <w:p>
      <w:pPr>
        <w:pStyle w:val="5"/>
        <w:widowControl/>
        <w:shd w:val="clear" w:color="auto" w:fill="FFFFFF"/>
        <w:spacing w:beforeAutospacing="0" w:afterAutospacing="0" w:line="480" w:lineRule="atLeast"/>
        <w:ind w:firstLine="516"/>
        <w:textAlignment w:val="center"/>
        <w:rPr>
          <w:rFonts w:hint="eastAsia" w:cs="黑体" w:asciiTheme="minorEastAsia" w:hAnsiTheme="minorEastAsia"/>
          <w:b/>
          <w:bCs/>
          <w:color w:val="000000"/>
          <w:sz w:val="32"/>
          <w:szCs w:val="32"/>
        </w:rPr>
      </w:pPr>
    </w:p>
    <w:p>
      <w:pPr>
        <w:pStyle w:val="5"/>
        <w:widowControl/>
        <w:shd w:val="clear" w:color="auto" w:fill="FFFFFF"/>
        <w:spacing w:beforeAutospacing="0" w:afterAutospacing="0" w:line="480" w:lineRule="atLeast"/>
        <w:ind w:firstLine="516"/>
        <w:textAlignment w:val="center"/>
        <w:rPr>
          <w:rFonts w:cs="黑体" w:asciiTheme="minorEastAsia" w:hAnsiTheme="minorEastAsia"/>
          <w:b/>
          <w:bCs/>
          <w:color w:val="000000"/>
          <w:sz w:val="32"/>
          <w:szCs w:val="32"/>
        </w:rPr>
      </w:pPr>
      <w:r>
        <w:rPr>
          <w:rFonts w:hint="eastAsia" w:cs="黑体" w:asciiTheme="minorEastAsia" w:hAnsiTheme="minorEastAsia"/>
          <w:b/>
          <w:bCs/>
          <w:color w:val="000000"/>
          <w:sz w:val="32"/>
          <w:szCs w:val="32"/>
        </w:rPr>
        <w:t>一、预算单位基本情况</w:t>
      </w:r>
    </w:p>
    <w:p>
      <w:pPr>
        <w:pStyle w:val="5"/>
        <w:widowControl/>
        <w:shd w:val="clear" w:color="auto" w:fill="FFFFFF"/>
        <w:spacing w:beforeAutospacing="0" w:afterAutospacing="0" w:line="432" w:lineRule="atLeast"/>
        <w:ind w:firstLine="516"/>
        <w:textAlignment w:val="center"/>
        <w:rPr>
          <w:rFonts w:ascii="方正仿宋_GBK" w:eastAsia="方正仿宋_GBK" w:cs="黑体" w:hAnsiTheme="minorEastAsia"/>
          <w:color w:val="000000"/>
          <w:sz w:val="32"/>
          <w:szCs w:val="32"/>
        </w:rPr>
      </w:pPr>
      <w:r>
        <w:rPr>
          <w:rFonts w:hint="eastAsia" w:ascii="方正仿宋_GBK" w:eastAsia="方正仿宋_GBK" w:cs="黑体" w:hAnsiTheme="minorEastAsia"/>
          <w:color w:val="000000"/>
          <w:sz w:val="32"/>
          <w:szCs w:val="32"/>
        </w:rPr>
        <w:t>2021年年初我单位根据渌口区财政局绩效评价科的相关规定，对照区委、区政府下达的目标任务，科学合理地设定了年度绩效目标和指标，并按要求申报了2021年绩效目标及绩效评估的相关资料。本部门整体支出和项目支出实行绩效目标管理，纳入2021年部门整体支出绩效目标的金额150.25万元。</w:t>
      </w:r>
    </w:p>
    <w:p>
      <w:pPr>
        <w:pStyle w:val="5"/>
        <w:widowControl/>
        <w:shd w:val="clear" w:color="auto" w:fill="FFFFFF"/>
        <w:spacing w:beforeAutospacing="0" w:afterAutospacing="0" w:line="480" w:lineRule="atLeast"/>
        <w:ind w:firstLine="516"/>
        <w:textAlignment w:val="center"/>
        <w:rPr>
          <w:rFonts w:cs="黑体" w:asciiTheme="minorEastAsia" w:hAnsiTheme="minorEastAsia"/>
          <w:b/>
          <w:bCs/>
          <w:color w:val="000000"/>
          <w:sz w:val="32"/>
          <w:szCs w:val="32"/>
        </w:rPr>
      </w:pPr>
      <w:r>
        <w:rPr>
          <w:rFonts w:hint="eastAsia" w:cs="黑体" w:asciiTheme="minorEastAsia" w:hAnsiTheme="minorEastAsia"/>
          <w:b/>
          <w:bCs/>
          <w:color w:val="000000"/>
          <w:sz w:val="32"/>
          <w:szCs w:val="32"/>
        </w:rPr>
        <w:t>二、一般公共预算支出情况</w:t>
      </w:r>
    </w:p>
    <w:p>
      <w:pPr>
        <w:pStyle w:val="5"/>
        <w:widowControl/>
        <w:shd w:val="clear" w:color="auto" w:fill="FFFFFF"/>
        <w:spacing w:beforeAutospacing="0" w:afterAutospacing="0" w:line="480" w:lineRule="atLeast"/>
        <w:ind w:firstLine="516"/>
        <w:textAlignment w:val="center"/>
        <w:rPr>
          <w:rFonts w:cs="黑体" w:asciiTheme="minorEastAsia" w:hAnsiTheme="minorEastAsia"/>
          <w:b/>
          <w:bCs/>
          <w:color w:val="000000"/>
          <w:sz w:val="32"/>
          <w:szCs w:val="32"/>
        </w:rPr>
      </w:pPr>
      <w:r>
        <w:rPr>
          <w:rFonts w:hint="eastAsia" w:cs="黑体" w:asciiTheme="minorEastAsia" w:hAnsiTheme="minorEastAsia"/>
          <w:b/>
          <w:bCs/>
          <w:color w:val="000000"/>
          <w:sz w:val="32"/>
          <w:szCs w:val="32"/>
        </w:rPr>
        <w:t>（一）基本支出情况</w:t>
      </w:r>
    </w:p>
    <w:p>
      <w:pPr>
        <w:pStyle w:val="5"/>
        <w:widowControl/>
        <w:shd w:val="clear" w:color="auto" w:fill="FFFFFF"/>
        <w:spacing w:beforeAutospacing="0" w:afterAutospacing="0" w:line="432" w:lineRule="atLeast"/>
        <w:ind w:firstLine="516"/>
        <w:textAlignment w:val="center"/>
        <w:rPr>
          <w:rFonts w:ascii="方正仿宋_GBK" w:eastAsia="方正仿宋_GBK" w:cs="黑体" w:hAnsiTheme="minorEastAsia"/>
          <w:color w:val="000000"/>
          <w:sz w:val="32"/>
          <w:szCs w:val="32"/>
        </w:rPr>
      </w:pPr>
      <w:r>
        <w:rPr>
          <w:rFonts w:hint="eastAsia" w:ascii="方正仿宋_GBK" w:eastAsia="方正仿宋_GBK" w:cs="黑体" w:hAnsiTheme="minorEastAsia"/>
          <w:color w:val="000000"/>
          <w:sz w:val="32"/>
          <w:szCs w:val="32"/>
        </w:rPr>
        <w:t>2021年度财政拨款基本支出210.78万元，其中：人员经费72.6万元，占基本支出的34.44%,主要包括基本工资、津贴补贴、奖金、机关事业单位基本养老保险缴费、职工基本医疗保险缴费、其他社会保障缴费、住房公积金、医疗费、其他工资福利支出、奖励金；公用经费119.74万元，占基本支出的56.81%，主要包括办公费、印刷费、手续费、邮电费、差旅费、维修（护）费、租赁费、培训费、劳务费、委托业务费、工会经费、福利费、其他交通费用、对各类协会的补助，其他商品和服务支出、资本性支出、其他支出。项目支出18.45万元，占总支出的8.75%，乡村振兴文体建设帮扶资金、妇女儿童经费项目支出、开展妇女儿童活动、最美庭院评选活动。</w:t>
      </w:r>
    </w:p>
    <w:p>
      <w:pPr>
        <w:pStyle w:val="5"/>
        <w:widowControl/>
        <w:shd w:val="clear" w:color="auto" w:fill="FFFFFF"/>
        <w:spacing w:beforeAutospacing="0" w:afterAutospacing="0" w:line="480" w:lineRule="atLeast"/>
        <w:ind w:firstLine="516"/>
        <w:textAlignment w:val="center"/>
        <w:rPr>
          <w:rFonts w:cs="黑体" w:asciiTheme="minorEastAsia" w:hAnsiTheme="minorEastAsia"/>
          <w:b/>
          <w:bCs/>
          <w:color w:val="000000"/>
          <w:sz w:val="32"/>
          <w:szCs w:val="32"/>
        </w:rPr>
      </w:pPr>
      <w:r>
        <w:rPr>
          <w:rFonts w:cs="黑体" w:asciiTheme="minorEastAsia" w:hAnsiTheme="minorEastAsia"/>
          <w:b/>
          <w:bCs/>
          <w:color w:val="000000"/>
          <w:sz w:val="32"/>
          <w:szCs w:val="32"/>
        </w:rPr>
        <w:t>（二）</w:t>
      </w:r>
      <w:r>
        <w:rPr>
          <w:rFonts w:hint="eastAsia" w:cs="黑体" w:asciiTheme="minorEastAsia" w:hAnsiTheme="minorEastAsia"/>
          <w:b/>
          <w:bCs/>
          <w:color w:val="000000"/>
          <w:sz w:val="32"/>
          <w:szCs w:val="32"/>
        </w:rPr>
        <w:t>项目支出情况</w:t>
      </w:r>
    </w:p>
    <w:p>
      <w:pPr>
        <w:pStyle w:val="5"/>
        <w:widowControl/>
        <w:shd w:val="clear" w:color="auto" w:fill="FFFFFF"/>
        <w:spacing w:beforeAutospacing="0" w:afterAutospacing="0" w:line="432" w:lineRule="atLeast"/>
        <w:ind w:firstLine="516"/>
        <w:textAlignment w:val="center"/>
        <w:rPr>
          <w:rFonts w:ascii="方正仿宋_GBK" w:eastAsia="方正仿宋_GBK" w:cs="黑体" w:hAnsiTheme="minorEastAsia"/>
          <w:color w:val="000000"/>
          <w:sz w:val="32"/>
          <w:szCs w:val="32"/>
        </w:rPr>
      </w:pPr>
      <w:r>
        <w:rPr>
          <w:rFonts w:hint="eastAsia" w:ascii="方正仿宋_GBK" w:eastAsia="方正仿宋_GBK" w:cs="黑体" w:hAnsiTheme="minorEastAsia"/>
          <w:color w:val="000000"/>
          <w:sz w:val="32"/>
          <w:szCs w:val="32"/>
        </w:rPr>
        <w:t>2021年度项目支出18.45万元，占总支出的8.75%，乡村振兴项目支出完成2万元，拨付给龙门镇花田村乡村振兴文体建设帮扶资金</w:t>
      </w:r>
      <w:r>
        <w:rPr>
          <w:rFonts w:hint="eastAsia" w:ascii="方正仿宋_GBK" w:eastAsia="方正仿宋_GBK" w:cs="黑体" w:hAnsiTheme="minorEastAsia"/>
          <w:color w:val="000000"/>
          <w:sz w:val="32"/>
          <w:szCs w:val="32"/>
          <w:lang w:eastAsia="zh-CN"/>
        </w:rPr>
        <w:t>、</w:t>
      </w:r>
      <w:bookmarkStart w:id="0" w:name="_GoBack"/>
      <w:bookmarkEnd w:id="0"/>
      <w:r>
        <w:rPr>
          <w:rFonts w:hint="eastAsia" w:ascii="方正仿宋_GBK" w:eastAsia="方正仿宋_GBK" w:cs="黑体" w:hAnsiTheme="minorEastAsia"/>
          <w:color w:val="000000"/>
          <w:sz w:val="32"/>
          <w:szCs w:val="32"/>
        </w:rPr>
        <w:t>妇女儿童经费项目支出3万元，开展妇女儿童活动；最美庭院项目支出完成13.45万元，开展了各镇、村最美庭院评选活动。</w:t>
      </w:r>
    </w:p>
    <w:p>
      <w:pPr>
        <w:pStyle w:val="5"/>
        <w:widowControl/>
        <w:shd w:val="clear" w:color="auto" w:fill="FFFFFF"/>
        <w:spacing w:beforeAutospacing="0" w:afterAutospacing="0" w:line="480" w:lineRule="atLeast"/>
        <w:ind w:firstLine="516"/>
        <w:textAlignment w:val="center"/>
        <w:rPr>
          <w:rFonts w:cs="黑体" w:asciiTheme="minorEastAsia" w:hAnsiTheme="minorEastAsia"/>
          <w:b/>
          <w:bCs/>
          <w:color w:val="000000"/>
          <w:sz w:val="32"/>
          <w:szCs w:val="32"/>
        </w:rPr>
      </w:pPr>
      <w:r>
        <w:rPr>
          <w:rFonts w:hint="eastAsia" w:cs="黑体" w:asciiTheme="minorEastAsia" w:hAnsiTheme="minorEastAsia"/>
          <w:b/>
          <w:bCs/>
          <w:color w:val="000000"/>
          <w:sz w:val="32"/>
          <w:szCs w:val="32"/>
        </w:rPr>
        <w:t>三、部门整体支出绩效情况</w:t>
      </w:r>
    </w:p>
    <w:p>
      <w:pPr>
        <w:pStyle w:val="5"/>
        <w:widowControl/>
        <w:shd w:val="clear" w:color="auto" w:fill="FFFFFF"/>
        <w:spacing w:beforeAutospacing="0" w:afterAutospacing="0" w:line="432" w:lineRule="atLeast"/>
        <w:ind w:firstLine="516"/>
        <w:textAlignment w:val="center"/>
        <w:rPr>
          <w:rFonts w:ascii="方正仿宋_GBK" w:eastAsia="方正仿宋_GBK" w:cs="黑体" w:hAnsiTheme="minorEastAsia"/>
          <w:color w:val="000000"/>
          <w:sz w:val="32"/>
          <w:szCs w:val="32"/>
        </w:rPr>
      </w:pPr>
      <w:r>
        <w:rPr>
          <w:rFonts w:hint="eastAsia" w:ascii="方正仿宋_GBK" w:eastAsia="方正仿宋_GBK" w:cs="黑体" w:hAnsiTheme="minorEastAsia"/>
          <w:b/>
          <w:color w:val="000000"/>
          <w:sz w:val="32"/>
          <w:szCs w:val="32"/>
        </w:rPr>
        <w:t>（一）政治建设持续发力。</w:t>
      </w:r>
      <w:r>
        <w:rPr>
          <w:rFonts w:hint="eastAsia" w:ascii="方正仿宋_GBK" w:eastAsia="方正仿宋_GBK" w:cs="黑体" w:hAnsiTheme="minorEastAsia"/>
          <w:color w:val="000000"/>
          <w:sz w:val="32"/>
          <w:szCs w:val="32"/>
        </w:rPr>
        <w:t>坚持“党建带妇建，妇建服务党建”的工作理念，围绕庆祝建党100周年，深入开展系列活动。一是开展巾帼献礼活动，在“三八妇女节”之际，举办“巾帼心向党”喜迎建党100周年庆祝活动、“迎百年庆典，展巾帼风采”微视频大赛。二是营造童心向党氛围，开展“童心向党，礼赞百年”活动，引领少年儿童学党史、诵读红色经典，广大少年儿童反响强烈，获得百姓好评。三是深入开展“我为群众办实事”实践活动，联合社会爱心组织，募集资金及物资近40万元，为100多个贫困留守儿童家庭送去温暖，为300余名优秀贫困学生提供了助学金或学习用品；350多名困境妇女得到救助。</w:t>
      </w:r>
    </w:p>
    <w:p>
      <w:pPr>
        <w:pStyle w:val="5"/>
        <w:widowControl/>
        <w:shd w:val="clear" w:color="auto" w:fill="FFFFFF"/>
        <w:spacing w:beforeAutospacing="0" w:afterAutospacing="0" w:line="432" w:lineRule="atLeast"/>
        <w:ind w:firstLine="516"/>
        <w:textAlignment w:val="center"/>
        <w:rPr>
          <w:rFonts w:ascii="方正仿宋_GBK" w:eastAsia="方正仿宋_GBK" w:cs="黑体" w:hAnsiTheme="minorEastAsia"/>
          <w:color w:val="000000"/>
          <w:sz w:val="32"/>
          <w:szCs w:val="32"/>
        </w:rPr>
      </w:pPr>
      <w:r>
        <w:rPr>
          <w:rFonts w:hint="eastAsia" w:ascii="方正仿宋_GBK" w:eastAsia="方正仿宋_GBK" w:cs="黑体" w:hAnsiTheme="minorEastAsia"/>
          <w:b/>
          <w:color w:val="000000"/>
          <w:sz w:val="32"/>
          <w:szCs w:val="32"/>
        </w:rPr>
        <w:t>（二）基层基础不断加强。</w:t>
      </w:r>
      <w:r>
        <w:rPr>
          <w:rFonts w:hint="eastAsia" w:ascii="方正仿宋_GBK" w:eastAsia="方正仿宋_GBK" w:cs="黑体" w:hAnsiTheme="minorEastAsia"/>
          <w:color w:val="000000"/>
          <w:sz w:val="32"/>
          <w:szCs w:val="32"/>
        </w:rPr>
        <w:t>一是推进镇村两级妇联组织换届，打造“升级版”基层妇联组织，妇联队伍得到进一步优化。二是开设“领头雁培训计划”线上示范班和“新时代妇联工作培训”线下主体班，对全区镇村两级妇联主席开展集中培训，新一届妇联执委履职能力得到进一步提升。三是妇联组织阵地建设取得新突破，新建5个“妇女之家”，充分发挥妇女群众在社会治理中的独特作用。</w:t>
      </w:r>
    </w:p>
    <w:p>
      <w:pPr>
        <w:pStyle w:val="5"/>
        <w:widowControl/>
        <w:shd w:val="clear" w:color="auto" w:fill="FFFFFF"/>
        <w:spacing w:beforeAutospacing="0" w:afterAutospacing="0" w:line="432" w:lineRule="atLeast"/>
        <w:ind w:firstLine="516"/>
        <w:textAlignment w:val="center"/>
        <w:rPr>
          <w:rFonts w:ascii="方正仿宋_GBK" w:eastAsia="方正仿宋_GBK" w:cs="黑体" w:hAnsiTheme="minorEastAsia"/>
          <w:color w:val="000000"/>
          <w:sz w:val="32"/>
          <w:szCs w:val="32"/>
        </w:rPr>
      </w:pPr>
      <w:r>
        <w:rPr>
          <w:rFonts w:hint="eastAsia" w:ascii="方正仿宋_GBK" w:eastAsia="方正仿宋_GBK" w:cs="黑体" w:hAnsiTheme="minorEastAsia"/>
          <w:b/>
          <w:color w:val="000000"/>
          <w:sz w:val="32"/>
          <w:szCs w:val="32"/>
        </w:rPr>
        <w:t>（三）服务大局贡献力量。</w:t>
      </w:r>
      <w:r>
        <w:rPr>
          <w:rFonts w:hint="eastAsia" w:ascii="方正仿宋_GBK" w:eastAsia="方正仿宋_GBK" w:cs="黑体" w:hAnsiTheme="minorEastAsia"/>
          <w:color w:val="000000"/>
          <w:sz w:val="32"/>
          <w:szCs w:val="32"/>
        </w:rPr>
        <w:t>引领妇女群众积极参与区委区政府中心工作，彰显妇女建功立业新风采。一是“湘妹子能量家园”赋能乡村振兴，通过“晒家风、比奉献、促发展”活动，助力乡风文明建设。二是迅速落实区委区政府“教育振兴”三年行动方案，成立了“渌口区妇联家长学校”，每周定期邀请专家授课，社会反响良好。三是创文创卫共描美好家园，组织妇联干部带头进社区，发动各级执委积极参与文明提升工作，引导居民加入创文创卫行列。开展“文明家庭、最美家庭、五好家庭”评选，持续推进“最美庭院”创建，引导农村居民树立健康卫生的生活理念，自觉投身农村人居环境整治。四是疫情防控彰显巾帼担当，号召全区3000余名妇联执委积极响应区委区政府的号召，奔赴疫情防控一线，参与关卡值守、上门宣传劝导工作，成为抗疫主力军，组织众多巾帼志愿者主动到各卫生院，为核酸检测、疫苗接种进行现场维护引导。在防溺水宣传中积极作为，此项工作被“新湖南”“今日头条”等媒体相继报道。五是以“巾帼心向党、建功新时代”为主题，开展巾帼文明岗、巾帼建功标兵、巾帼建功先进集体等系列评比活动，引导广大城乡妇女投身新技术、新产业，在建设“青春渌口、创业新城”中立新功。六是以服务民生为主旨，贡献社会治理巾帼力量。坚持把办好民生实事作为妇联参与社会治理、关爱妇儿群体的重要抓手。全面落实平安建设，推动“平安家庭”创建提档升级，推动平安观念深入人心。落实“民生100——鹊桥工程”。对全区大龄单身青年全面摸底，建立数据库，组建344人的红娘队伍，举办联谊活动3场，共计约300名单身人士参加，现场牵手成功20余对。</w:t>
      </w:r>
    </w:p>
    <w:p>
      <w:pPr>
        <w:pStyle w:val="5"/>
        <w:widowControl/>
        <w:shd w:val="clear" w:color="auto" w:fill="FFFFFF"/>
        <w:spacing w:beforeAutospacing="0" w:afterAutospacing="0" w:line="432" w:lineRule="atLeast"/>
        <w:ind w:firstLine="516"/>
        <w:textAlignment w:val="center"/>
        <w:rPr>
          <w:rFonts w:ascii="方正仿宋_GBK" w:eastAsia="方正仿宋_GBK" w:cs="黑体" w:hAnsiTheme="minorEastAsia"/>
          <w:color w:val="000000"/>
          <w:sz w:val="32"/>
          <w:szCs w:val="32"/>
        </w:rPr>
      </w:pPr>
      <w:r>
        <w:rPr>
          <w:rFonts w:hint="eastAsia" w:ascii="方正仿宋_GBK" w:eastAsia="方正仿宋_GBK" w:cs="黑体" w:hAnsiTheme="minorEastAsia"/>
          <w:b/>
          <w:color w:val="000000"/>
          <w:sz w:val="32"/>
          <w:szCs w:val="32"/>
        </w:rPr>
        <w:t>（四）关爱维权积极作为。</w:t>
      </w:r>
      <w:r>
        <w:rPr>
          <w:rFonts w:hint="eastAsia" w:ascii="方正仿宋_GBK" w:eastAsia="方正仿宋_GBK" w:cs="黑体" w:hAnsiTheme="minorEastAsia"/>
          <w:color w:val="000000"/>
          <w:sz w:val="32"/>
          <w:szCs w:val="32"/>
        </w:rPr>
        <w:t>一是为5005名农村和城镇低保适龄妇女提供免费筛查服务，并开展女性健康知识专题讲座、“湘女关爱保”等宣传活动，提高广大妇女的自我保健意识及家庭抗风险能力。二是坚持上下联动，健全区、镇、村三级维权体系，指导各镇村妇联建立妇联维权、人民调解、法律援助“三位一体”工作格局，开展“三八”维权周系列活动，成立“花季天使，儿童防性侵”志愿服务队渌口分队，开展75场专题讲座和主题班会，邀请律师定期坐班，为妇女群众提供免费法律咨询。</w:t>
      </w:r>
    </w:p>
    <w:p>
      <w:pPr>
        <w:pStyle w:val="5"/>
        <w:widowControl/>
        <w:shd w:val="clear" w:color="auto" w:fill="FFFFFF"/>
        <w:spacing w:beforeAutospacing="0" w:afterAutospacing="0" w:line="432" w:lineRule="atLeast"/>
        <w:ind w:firstLine="516"/>
        <w:textAlignment w:val="center"/>
        <w:rPr>
          <w:rFonts w:hint="eastAsia" w:ascii="方正仿宋_GBK" w:eastAsia="方正仿宋_GBK" w:cs="黑体" w:hAnsiTheme="minorEastAsia"/>
          <w:color w:val="000000"/>
          <w:sz w:val="32"/>
          <w:szCs w:val="32"/>
        </w:rPr>
      </w:pPr>
      <w:r>
        <w:rPr>
          <w:rFonts w:hint="eastAsia" w:ascii="方正仿宋_GBK" w:eastAsia="方正仿宋_GBK" w:cs="黑体" w:hAnsiTheme="minorEastAsia"/>
          <w:color w:val="000000"/>
          <w:sz w:val="32"/>
          <w:szCs w:val="32"/>
        </w:rPr>
        <w:t>通过加强预算收支管理，不断建立健全内部管理制度，梳理内部管理流程，部门整体支出管理水平得到提升。部门整体支出绩效情况如下：预算配置控制较好，预算执行比较到位，预算管理较理想，制度执行总体较为有效，“三公”经费总体控制较好，较本年预算和上年决算支出数下降，政府采购执行率为100%，资金使用合规，本年度支出的所有资金均由区财政局国库支付，支出符合国家财经法规和财务管理制度规定以及有关专项资金管理办法的规定；资金拨付有完整的审批程序和手续；项目支出按规定经过评估论证；支出符合部门预算批复的用途；资金使用无截留、挤占、挪用、虚列支出等情况。我单位对公共财产物资实行统一管理、统一调配，并按使用人建立了资产实物管理台账，实行使用、保管签字登记制度。对单位固定资产统一采购、多人经办，每月月初根据各部门的需求制订采购计划，并按政府采购程序和有关规定加强采购手续。年底对财产物资进行清查、盘点、核对、处理。对取得的资产实物及时进行会计核算。</w:t>
      </w:r>
    </w:p>
    <w:p>
      <w:pPr>
        <w:pStyle w:val="5"/>
        <w:widowControl/>
        <w:shd w:val="clear" w:color="auto" w:fill="FFFFFF"/>
        <w:spacing w:beforeAutospacing="0" w:afterAutospacing="0" w:line="432" w:lineRule="atLeast"/>
        <w:textAlignment w:val="center"/>
        <w:rPr>
          <w:rFonts w:hint="eastAsia" w:ascii="方正仿宋_GBK" w:eastAsia="方正仿宋_GBK" w:cs="黑体" w:hAnsiTheme="minorEastAsia"/>
          <w:color w:val="000000"/>
          <w:sz w:val="32"/>
          <w:szCs w:val="32"/>
        </w:rPr>
      </w:pPr>
    </w:p>
    <w:p>
      <w:pPr>
        <w:pStyle w:val="5"/>
        <w:widowControl/>
        <w:shd w:val="clear" w:color="auto" w:fill="FFFFFF"/>
        <w:spacing w:beforeAutospacing="0" w:afterAutospacing="0" w:line="432" w:lineRule="atLeast"/>
        <w:ind w:firstLine="516"/>
        <w:textAlignment w:val="center"/>
        <w:rPr>
          <w:rFonts w:hint="eastAsia" w:ascii="方正仿宋_GBK" w:eastAsia="方正仿宋_GBK" w:cs="黑体" w:hAnsiTheme="minorEastAsia"/>
          <w:color w:val="000000"/>
          <w:sz w:val="32"/>
          <w:szCs w:val="32"/>
        </w:rPr>
      </w:pPr>
    </w:p>
    <w:p>
      <w:pPr>
        <w:pStyle w:val="5"/>
        <w:widowControl/>
        <w:shd w:val="clear" w:color="auto" w:fill="FFFFFF"/>
        <w:spacing w:beforeAutospacing="0" w:afterAutospacing="0" w:line="432" w:lineRule="atLeast"/>
        <w:ind w:firstLine="5120" w:firstLineChars="1600"/>
        <w:textAlignment w:val="center"/>
        <w:rPr>
          <w:rFonts w:hint="eastAsia" w:ascii="方正仿宋_GBK" w:eastAsia="方正仿宋_GBK" w:cs="黑体" w:hAnsiTheme="minorEastAsia"/>
          <w:color w:val="000000"/>
          <w:sz w:val="32"/>
          <w:szCs w:val="32"/>
        </w:rPr>
      </w:pPr>
      <w:r>
        <w:rPr>
          <w:rFonts w:hint="eastAsia" w:ascii="方正仿宋_GBK" w:eastAsia="方正仿宋_GBK" w:cs="黑体" w:hAnsiTheme="minorEastAsia"/>
          <w:color w:val="000000"/>
          <w:sz w:val="32"/>
          <w:szCs w:val="32"/>
        </w:rPr>
        <w:t>株洲市渌口区妇女联合会</w:t>
      </w:r>
    </w:p>
    <w:p>
      <w:pPr>
        <w:pStyle w:val="5"/>
        <w:widowControl/>
        <w:shd w:val="clear" w:color="auto" w:fill="FFFFFF"/>
        <w:spacing w:beforeAutospacing="0" w:afterAutospacing="0" w:line="432" w:lineRule="atLeast"/>
        <w:ind w:firstLine="5600" w:firstLineChars="1750"/>
        <w:textAlignment w:val="center"/>
        <w:rPr>
          <w:rFonts w:ascii="方正仿宋_GBK" w:eastAsia="方正仿宋_GBK" w:cs="黑体" w:hAnsiTheme="minorEastAsia"/>
          <w:color w:val="000000"/>
          <w:sz w:val="32"/>
          <w:szCs w:val="32"/>
        </w:rPr>
      </w:pPr>
      <w:r>
        <w:rPr>
          <w:rFonts w:hint="eastAsia" w:ascii="方正仿宋_GBK" w:eastAsia="方正仿宋_GBK" w:cs="黑体" w:hAnsiTheme="minorEastAsia"/>
          <w:color w:val="000000"/>
          <w:sz w:val="32"/>
          <w:szCs w:val="32"/>
        </w:rPr>
        <w:t>2022年2月24</w:t>
      </w:r>
    </w:p>
    <w:p>
      <w:pPr>
        <w:jc w:val="left"/>
        <w:rPr>
          <w:rFonts w:cs="黑体" w:asciiTheme="minorEastAsia" w:hAnsiTheme="minorEastAsia"/>
          <w:color w:val="000000"/>
          <w:kern w:val="0"/>
          <w:sz w:val="32"/>
          <w:szCs w:val="32"/>
        </w:rPr>
      </w:pPr>
    </w:p>
    <w:sectPr>
      <w:pgSz w:w="11906" w:h="16838"/>
      <w:pgMar w:top="1134" w:right="1134" w:bottom="1134" w:left="113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E1MGJiMDNhMTQyMTE3MGJiNzgwYjFlMjIxMDFhMzkifQ=="/>
  </w:docVars>
  <w:rsids>
    <w:rsidRoot w:val="004506F9"/>
    <w:rsid w:val="0002229B"/>
    <w:rsid w:val="000273BD"/>
    <w:rsid w:val="000415B7"/>
    <w:rsid w:val="000658A3"/>
    <w:rsid w:val="000729E5"/>
    <w:rsid w:val="00074155"/>
    <w:rsid w:val="000A3F69"/>
    <w:rsid w:val="00152C6D"/>
    <w:rsid w:val="00162D39"/>
    <w:rsid w:val="001A67DB"/>
    <w:rsid w:val="001D51E5"/>
    <w:rsid w:val="001F0C3B"/>
    <w:rsid w:val="00214427"/>
    <w:rsid w:val="00265724"/>
    <w:rsid w:val="0027426B"/>
    <w:rsid w:val="003078C3"/>
    <w:rsid w:val="00321B1B"/>
    <w:rsid w:val="00346920"/>
    <w:rsid w:val="003479BD"/>
    <w:rsid w:val="003768D5"/>
    <w:rsid w:val="004506F9"/>
    <w:rsid w:val="004717A2"/>
    <w:rsid w:val="00491741"/>
    <w:rsid w:val="00500E5F"/>
    <w:rsid w:val="005122EF"/>
    <w:rsid w:val="00517C33"/>
    <w:rsid w:val="00523644"/>
    <w:rsid w:val="0054069E"/>
    <w:rsid w:val="005767CC"/>
    <w:rsid w:val="00590D9F"/>
    <w:rsid w:val="00595D26"/>
    <w:rsid w:val="005A74E6"/>
    <w:rsid w:val="005D4D55"/>
    <w:rsid w:val="005E2CFB"/>
    <w:rsid w:val="0062378F"/>
    <w:rsid w:val="00651EEC"/>
    <w:rsid w:val="006A351B"/>
    <w:rsid w:val="006B0422"/>
    <w:rsid w:val="006C1B53"/>
    <w:rsid w:val="006D7730"/>
    <w:rsid w:val="006E5284"/>
    <w:rsid w:val="006F3EB5"/>
    <w:rsid w:val="00702E34"/>
    <w:rsid w:val="00704395"/>
    <w:rsid w:val="00720FF1"/>
    <w:rsid w:val="00812ED5"/>
    <w:rsid w:val="008277D9"/>
    <w:rsid w:val="00847515"/>
    <w:rsid w:val="008927B7"/>
    <w:rsid w:val="008A3E8D"/>
    <w:rsid w:val="009237C4"/>
    <w:rsid w:val="00950252"/>
    <w:rsid w:val="00954334"/>
    <w:rsid w:val="00967F5D"/>
    <w:rsid w:val="009A0F95"/>
    <w:rsid w:val="009A215E"/>
    <w:rsid w:val="009B3ADF"/>
    <w:rsid w:val="009C3B52"/>
    <w:rsid w:val="00A42218"/>
    <w:rsid w:val="00A70249"/>
    <w:rsid w:val="00B25A25"/>
    <w:rsid w:val="00B33BEA"/>
    <w:rsid w:val="00B57C9F"/>
    <w:rsid w:val="00B845B3"/>
    <w:rsid w:val="00B85D8B"/>
    <w:rsid w:val="00BE3674"/>
    <w:rsid w:val="00C3049A"/>
    <w:rsid w:val="00C31B1E"/>
    <w:rsid w:val="00C33198"/>
    <w:rsid w:val="00C77645"/>
    <w:rsid w:val="00CE04C3"/>
    <w:rsid w:val="00CE76A0"/>
    <w:rsid w:val="00D148C6"/>
    <w:rsid w:val="00DD06FF"/>
    <w:rsid w:val="00DD5FE9"/>
    <w:rsid w:val="00E00C7A"/>
    <w:rsid w:val="00E538CB"/>
    <w:rsid w:val="00E55B68"/>
    <w:rsid w:val="00E63524"/>
    <w:rsid w:val="00F74360"/>
    <w:rsid w:val="00FB462F"/>
    <w:rsid w:val="00FE16FA"/>
    <w:rsid w:val="00FE328A"/>
    <w:rsid w:val="00FE7451"/>
    <w:rsid w:val="00FF39F6"/>
    <w:rsid w:val="09E735E6"/>
    <w:rsid w:val="0B0E03C6"/>
    <w:rsid w:val="132E3E0A"/>
    <w:rsid w:val="15B1236F"/>
    <w:rsid w:val="15B540D4"/>
    <w:rsid w:val="24A97053"/>
    <w:rsid w:val="2CDB4C3A"/>
    <w:rsid w:val="39726AAA"/>
    <w:rsid w:val="3EE469FE"/>
    <w:rsid w:val="42D62AE4"/>
    <w:rsid w:val="4C840D41"/>
    <w:rsid w:val="4DAB2580"/>
    <w:rsid w:val="4F0A69F8"/>
    <w:rsid w:val="52E875DE"/>
    <w:rsid w:val="5A395588"/>
    <w:rsid w:val="79E44A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Autospacing="1" w:afterAutospacing="1"/>
      <w:jc w:val="left"/>
    </w:pPr>
    <w:rPr>
      <w:rFonts w:cs="Times New Roman"/>
      <w:kern w:val="0"/>
      <w:sz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1">
    <w:name w:val="List Paragraph"/>
    <w:basedOn w:val="1"/>
    <w:qFormat/>
    <w:uiPriority w:val="34"/>
    <w:pPr>
      <w:ind w:firstLine="420" w:firstLineChars="200"/>
    </w:pPr>
  </w:style>
  <w:style w:type="character" w:customStyle="1" w:styleId="12">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5519E-349B-434D-9416-6228F9E596F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2325</Words>
  <Characters>2424</Characters>
  <Lines>17</Lines>
  <Paragraphs>4</Paragraphs>
  <TotalTime>36</TotalTime>
  <ScaleCrop>false</ScaleCrop>
  <LinksUpToDate>false</LinksUpToDate>
  <CharactersWithSpaces>2424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2022-02-22T01:56:00Z</dcterms:created>
  <dc:creator>李航 null</dc:creator>
  <cp:lastModifiedBy>Administrator</cp:lastModifiedBy>
  <cp:lastPrinted>2022-02-28T01:23:00Z</cp:lastPrinted>
  <dcterms:modified xsi:type="dcterms:W3CDTF">2022-08-31T07:22:29Z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4EA9AC0C74C947CCB9A7D0B4E0C548C5</vt:lpwstr>
  </property>
</Properties>
</file>