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8"/>
        <w:framePr/>
      </w:pPr>
      <w:r>
        <w:rPr>
          <w:rFonts w:hAnsi="黑体"/>
        </w:rPr>
        <w:t>ICS </w:t>
      </w:r>
      <w:bookmarkStart w:id="0" w:name="ICS"/>
      <w:r>
        <w:fldChar w:fldCharType="begin">
          <w:ffData>
            <w:name w:val="ICS"/>
            <w:enabled/>
            <w:calcOnExit w:val="0"/>
            <w:helpText w:type="text" w:val="请输入正确的ICS号："/>
            <w:textInput>
              <w:default w:val="03.080.01"/>
            </w:textInput>
          </w:ffData>
        </w:fldChar>
      </w:r>
      <w:r>
        <w:instrText xml:space="preserve"> FORMTEXT </w:instrText>
      </w:r>
      <w:r>
        <w:fldChar w:fldCharType="separate"/>
      </w:r>
      <w:r>
        <w:t>03.080.01</w:t>
      </w:r>
      <w:r>
        <w:fldChar w:fldCharType="end"/>
      </w:r>
      <w:bookmarkEnd w:id="0"/>
    </w:p>
    <w:p>
      <w:pPr>
        <w:pStyle w:val="118"/>
        <w:framePr/>
      </w:pPr>
      <w:bookmarkStart w:id="1" w:name="WXFLH"/>
      <w:r>
        <w:fldChar w:fldCharType="begin">
          <w:ffData>
            <w:name w:val="WXFLH"/>
            <w:enabled/>
            <w:calcOnExit w:val="0"/>
            <w:helpText w:type="text" w:val="请输入中国标准文献分类号："/>
            <w:textInput>
              <w:default w:val="CCS P 33"/>
            </w:textInput>
          </w:ffData>
        </w:fldChar>
      </w:r>
      <w:r>
        <w:instrText xml:space="preserve"> FORMTEXT </w:instrText>
      </w:r>
      <w:r>
        <w:fldChar w:fldCharType="separate"/>
      </w:r>
      <w:r>
        <w:t>CCS P 33</w:t>
      </w:r>
      <w:r>
        <w:fldChar w:fldCharType="end"/>
      </w:r>
      <w:bookmarkEnd w:id="1"/>
    </w:p>
    <w:tbl>
      <w:tblPr>
        <w:tblStyle w:val="2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4" w:type="dxa"/>
            <w:tcBorders>
              <w:top w:val="nil"/>
              <w:left w:val="nil"/>
              <w:bottom w:val="nil"/>
              <w:right w:val="nil"/>
            </w:tcBorders>
            <w:shd w:val="clear" w:color="auto" w:fill="auto"/>
          </w:tcPr>
          <w:p>
            <w:pPr>
              <w:pStyle w:val="118"/>
              <w:framePr/>
            </w:pPr>
            <w:r>
              <mc:AlternateContent>
                <mc:Choice Requires="wps">
                  <w:drawing>
                    <wp:anchor distT="0" distB="0" distL="114300" distR="114300" simplePos="0" relativeHeight="251646976" behindDoc="1" locked="0" layoutInCell="1" allowOverlap="1">
                      <wp:simplePos x="0" y="0"/>
                      <wp:positionH relativeFrom="column">
                        <wp:posOffset>-66675</wp:posOffset>
                      </wp:positionH>
                      <wp:positionV relativeFrom="paragraph">
                        <wp:posOffset>0</wp:posOffset>
                      </wp:positionV>
                      <wp:extent cx="866775" cy="198120"/>
                      <wp:effectExtent l="4445" t="3810" r="0" b="0"/>
                      <wp:wrapNone/>
                      <wp:docPr id="74" name="BAH"/>
                      <wp:cNvGraphicFramePr/>
                      <a:graphic xmlns:a="http://schemas.openxmlformats.org/drawingml/2006/main">
                        <a:graphicData uri="http://schemas.microsoft.com/office/word/2010/wordprocessingShape">
                          <wps:wsp>
                            <wps:cNvSpPr>
                              <a:spLocks noChangeArrowheads="true"/>
                            </wps:cNvSpPr>
                            <wps:spPr bwMode="auto">
                              <a:xfrm>
                                <a:off x="0" y="0"/>
                                <a:ext cx="866775" cy="198120"/>
                              </a:xfrm>
                              <a:prstGeom prst="rect">
                                <a:avLst/>
                              </a:prstGeom>
                              <a:solidFill>
                                <a:srgbClr val="FFFFFF"/>
                              </a:solidFill>
                              <a:ln>
                                <a:noFill/>
                              </a:ln>
                            </wps:spPr>
                            <wps:bodyPr rot="0" vert="horz" wrap="square" lIns="91440" tIns="45720" rIns="91440" bIns="45720" anchor="t" anchorCtr="false" upright="true">
                              <a:noAutofit/>
                            </wps:bodyPr>
                          </wps:wsp>
                        </a:graphicData>
                      </a:graphic>
                    </wp:anchor>
                  </w:drawing>
                </mc:Choice>
                <mc:Fallback>
                  <w:pict>
                    <v:rect id="BAH" o:spid="_x0000_s1026" o:spt="1" style="position:absolute;left:0pt;margin-left:-5.25pt;margin-top:0pt;height:15.6pt;width:68.25pt;z-index:-251669504;mso-width-relative:page;mso-height-relative:page;" fillcolor="#FFFFFF" filled="t" stroked="f" coordsize="21600,21600" o:gfxdata="UEsFBgAAAAAAAAAAAAAAAAAAAAAAAFBLAwQKAAAAAACHTuJAAAAAAAAAAAAAAAAABAAAAGRycy9Q&#10;SwMEFAAAAAgAh07iQMiuL+zVAAAABwEAAA8AAABkcnMvZG93bnJldi54bWxNj8FuwjAQRO+V+g/W&#10;VuIGdkKJaBqHQyVOpYcCEtclXpKo8TqNHUj/vubU3mY1o5m3xWaynbjS4FvHGpKFAkFcOdNyreF4&#10;2M7XIHxANtg5Jg0/5GFTPj4UmBt340+67kMtYgn7HDU0IfS5lL5qyKJfuJ44ehc3WAzxHGppBrzF&#10;ctvJVKlMWmw5LjTY01tD1dd+tBowezbfH5fl7vA+ZvhST2q7OimtZ0+JegURaAp/YbjjR3QoI9PZ&#10;jWy86DTME7WKUQ3xo7udZlGcNSyTFGRZyP/85S9QSwMEFAAAAAgAh07iQKvG4Y34AQAA3QMAAA4A&#10;AABkcnMvZTJvRG9jLnhtbK1TwY7TMBC9I/EPlu80bdVtd6Omq9JVAWmBlRY+wHXsxMLxmLHbtHw9&#10;Y6dbCtwQOVgej+flvTfj5f2xs+ygMBhwFZ+MxpwpJ6E2rqn41y/bN7echShcLSw4VfGTCvx+9frV&#10;svelmkILtlbICMSFsvcVb2P0ZVEE2apOhBF45SipATsRKcSmqFH0hN7ZYjoez4sesPYIUoVApw9D&#10;kq8yvtZKxs9aBxWZrThxi3nFvO7SWqyWomxQ+NbIMw3xDyw6YRz99AL1IKJgezR/QXVGIgTQcSSh&#10;K0BrI1XWQGom4z/UPLfCq6yFzAn+YlP4f7Dy0+EJmakrvphx5kRHPXq7fp986X0oKf3snzApC/4R&#10;5LfAHGxa4Rq1RoS+VaImNhH3KpUUv9WkIFA12/UfoSZgsY+QXTpq7BIm6WfH3IzTpRnqGJmkw9v5&#10;fLG44UxSanJ3O5nmZhWifCn2GOI7BR1Lm4oj9TqDi8NjiImMKF+uZP5gTb011uYAm93GIjsImott&#10;/jJ/knl9zbp02UEqGxDTSVaZhA0e7aA+kUiEYbjoMdCmBfzBWU+DVfHwfS9QcWY/OPLqbjKbpUnM&#10;wexmQboYXmd21xnhJEGRw5wN202kSAsbCHDv0TQt/S37P1Bdk8faZP3J/4HcmTPNULblPO9pSK/j&#10;fOvXq1z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MiuL+zVAAAABwEAAA8AAAAAAAAAAQAgAAAA&#10;OAAAAGRycy9kb3ducmV2LnhtbFBLAQIUABQAAAAIAIdO4kCrxuGN+AEAAN0DAAAOAAAAAAAAAAEA&#10;IAAAADoBAABkcnMvZTJvRG9jLnhtbFBLBQYAAAAABgAGAFkBAACkBQAAAAA=&#10;">
                      <v:fill on="t" focussize="0,0"/>
                      <v:stroke on="f"/>
                      <v:imagedata o:title=""/>
                      <o:lock v:ext="edit" aspectratio="f"/>
                    </v:rect>
                  </w:pict>
                </mc:Fallback>
              </mc:AlternateContent>
            </w:r>
            <w:r>
              <w:fldChar w:fldCharType="begin">
                <w:ffData>
                  <w:name w:val="BAH"/>
                  <w:enabled/>
                  <w:calcOnExit w:val="0"/>
                  <w:textInput/>
                </w:ffData>
              </w:fldChar>
            </w:r>
            <w:bookmarkStart w:id="2" w:name="BAH"/>
            <w:r>
              <w:instrText xml:space="preserve"> FORMTEXT </w:instrText>
            </w:r>
            <w:r>
              <w:fldChar w:fldCharType="separate"/>
            </w:r>
            <w:r>
              <w:t>     </w:t>
            </w:r>
            <w:r>
              <w:fldChar w:fldCharType="end"/>
            </w:r>
            <w:bookmarkEnd w:id="2"/>
          </w:p>
        </w:tc>
      </w:tr>
    </w:tbl>
    <w:p>
      <w:pPr>
        <w:pStyle w:val="104"/>
        <w:framePr/>
      </w:pPr>
      <w:r>
        <w:t>DB</w:t>
      </w:r>
      <w:bookmarkStart w:id="3" w:name="c3"/>
      <w:r>
        <w:fldChar w:fldCharType="begin">
          <w:ffData>
            <w:name w:val="c3"/>
            <w:enabled/>
            <w:calcOnExit w:val="0"/>
            <w:textInput>
              <w:default w:val="4302"/>
              <w:maxLength w:val="4"/>
            </w:textInput>
          </w:ffData>
        </w:fldChar>
      </w:r>
      <w:r>
        <w:instrText xml:space="preserve"> FORMTEXT </w:instrText>
      </w:r>
      <w:r>
        <w:fldChar w:fldCharType="separate"/>
      </w:r>
      <w:r>
        <w:t>4302</w:t>
      </w:r>
      <w:r>
        <w:fldChar w:fldCharType="end"/>
      </w:r>
      <w:bookmarkEnd w:id="3"/>
    </w:p>
    <w:p>
      <w:pPr>
        <w:pStyle w:val="105"/>
        <w:framePr/>
      </w:pPr>
      <w:bookmarkStart w:id="4" w:name="c4"/>
      <w:r>
        <w:fldChar w:fldCharType="begin">
          <w:ffData>
            <w:name w:val="c4"/>
            <w:enabled/>
            <w:calcOnExit w:val="0"/>
            <w:textInput>
              <w:default w:val="株洲市"/>
            </w:textInput>
          </w:ffData>
        </w:fldChar>
      </w:r>
      <w:r>
        <w:instrText xml:space="preserve"> FORMTEXT </w:instrText>
      </w:r>
      <w:r>
        <w:fldChar w:fldCharType="separate"/>
      </w:r>
      <w:r>
        <w:t>株洲市</w:t>
      </w:r>
      <w:r>
        <w:fldChar w:fldCharType="end"/>
      </w:r>
      <w:bookmarkEnd w:id="4"/>
      <w:r>
        <w:rPr>
          <w:rFonts w:hint="eastAsia"/>
        </w:rPr>
        <w:t>地方标准</w:t>
      </w:r>
    </w:p>
    <w:p>
      <w:pPr>
        <w:pStyle w:val="42"/>
        <w:framePr/>
        <w:rPr>
          <w:rFonts w:hAnsi="黑体"/>
        </w:rPr>
      </w:pPr>
      <w:r>
        <w:rPr>
          <w:rFonts w:ascii="Times New Roman"/>
        </w:rPr>
        <w:t>DB</w:t>
      </w:r>
      <w:bookmarkStart w:id="5" w:name="StdNo0"/>
      <w:r>
        <w:rPr>
          <w:rFonts w:hAnsi="黑体"/>
        </w:rPr>
        <w:fldChar w:fldCharType="begin">
          <w:ffData>
            <w:name w:val="StdNo0"/>
            <w:enabled/>
            <w:calcOnExit w:val="0"/>
            <w:textInput>
              <w:default w:val="43"/>
              <w:maxLength w:val="2"/>
            </w:textInput>
          </w:ffData>
        </w:fldChar>
      </w:r>
      <w:r>
        <w:rPr>
          <w:rFonts w:hAnsi="黑体"/>
        </w:rPr>
        <w:instrText xml:space="preserve"> FORMTEXT </w:instrText>
      </w:r>
      <w:r>
        <w:rPr>
          <w:rFonts w:hAnsi="黑体"/>
        </w:rPr>
        <w:fldChar w:fldCharType="separate"/>
      </w:r>
      <w:r>
        <w:rPr>
          <w:rFonts w:hAnsi="黑体"/>
        </w:rPr>
        <w:t>43</w:t>
      </w:r>
      <w:r>
        <w:rPr>
          <w:rFonts w:hAnsi="黑体"/>
        </w:rPr>
        <w:fldChar w:fldCharType="end"/>
      </w:r>
      <w:bookmarkEnd w:id="5"/>
      <w:r>
        <w:rPr>
          <w:rFonts w:hint="eastAsia" w:hAnsi="黑体"/>
        </w:rPr>
        <w:t>02</w:t>
      </w:r>
      <w:r>
        <w:rPr>
          <w:rFonts w:hAnsi="黑体"/>
        </w:rPr>
        <w:t>/</w:t>
      </w:r>
      <w:r>
        <w:rPr>
          <w:rFonts w:hint="eastAsia" w:hAnsi="黑体"/>
        </w:rPr>
        <w:t>T</w:t>
      </w:r>
      <w:r>
        <w:rPr>
          <w:rFonts w:hAnsi="黑体"/>
        </w:rPr>
        <w:t xml:space="preserve"> </w:t>
      </w:r>
      <w:bookmarkStart w:id="6" w:name="StdNo1"/>
      <w:r>
        <w:rPr>
          <w:rFonts w:hAnsi="黑体"/>
        </w:rPr>
        <w:fldChar w:fldCharType="begin">
          <w:ffData>
            <w:name w:val="StdNo1"/>
            <w:enabled/>
            <w:calcOnExit w:val="0"/>
            <w:textInput>
              <w:default w:val="XXXXX"/>
            </w:textInput>
          </w:ffData>
        </w:fldChar>
      </w:r>
      <w:r>
        <w:rPr>
          <w:rFonts w:hAnsi="黑体"/>
        </w:rPr>
        <w:instrText xml:space="preserve"> FORMTEXT </w:instrText>
      </w:r>
      <w:r>
        <w:rPr>
          <w:rFonts w:hAnsi="黑体"/>
        </w:rPr>
        <w:fldChar w:fldCharType="separate"/>
      </w:r>
      <w:r>
        <w:rPr>
          <w:rFonts w:hAnsi="黑体"/>
        </w:rPr>
        <w:t>XXXXX</w:t>
      </w:r>
      <w:r>
        <w:rPr>
          <w:rFonts w:hAnsi="黑体"/>
        </w:rPr>
        <w:fldChar w:fldCharType="end"/>
      </w:r>
      <w:bookmarkEnd w:id="6"/>
      <w:r>
        <w:rPr>
          <w:rFonts w:hAnsi="黑体"/>
        </w:rPr>
        <w:t>—</w:t>
      </w:r>
      <w:bookmarkStart w:id="7" w:name="StdNo2"/>
      <w:r>
        <w:rPr>
          <w:rFonts w:hAnsi="黑体"/>
        </w:rPr>
        <w:fldChar w:fldCharType="begin">
          <w:ffData>
            <w:name w:val="StdNo2"/>
            <w:enabled/>
            <w:calcOnExit w:val="0"/>
            <w:textInput>
              <w:default w:val="XXXX"/>
              <w:maxLength w:val="4"/>
            </w:textInput>
          </w:ffData>
        </w:fldChar>
      </w:r>
      <w:r>
        <w:rPr>
          <w:rFonts w:hAnsi="黑体"/>
        </w:rPr>
        <w:instrText xml:space="preserve"> FORMTEXT </w:instrText>
      </w:r>
      <w:r>
        <w:rPr>
          <w:rFonts w:hAnsi="黑体"/>
        </w:rPr>
        <w:fldChar w:fldCharType="separate"/>
      </w:r>
      <w:r>
        <w:rPr>
          <w:rFonts w:hAnsi="黑体"/>
        </w:rPr>
        <w:t>XXXX</w:t>
      </w:r>
      <w:r>
        <w:rPr>
          <w:rFonts w:hAnsi="黑体"/>
        </w:rPr>
        <w:fldChar w:fldCharType="end"/>
      </w:r>
      <w:bookmarkEnd w:id="7"/>
    </w:p>
    <w:tbl>
      <w:tblPr>
        <w:tblStyle w:val="2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shd w:val="clear" w:color="auto" w:fill="auto"/>
          </w:tcPr>
          <w:p>
            <w:pPr>
              <w:pStyle w:val="71"/>
              <w:framePr/>
            </w:pPr>
            <w:bookmarkStart w:id="8" w:name="DT"/>
            <w:r>
              <mc:AlternateContent>
                <mc:Choice Requires="wps">
                  <w:drawing>
                    <wp:anchor distT="0" distB="0" distL="114300" distR="114300" simplePos="0" relativeHeight="251643904" behindDoc="1" locked="0" layoutInCell="1" allowOverlap="1">
                      <wp:simplePos x="0" y="0"/>
                      <wp:positionH relativeFrom="column">
                        <wp:posOffset>4734560</wp:posOffset>
                      </wp:positionH>
                      <wp:positionV relativeFrom="paragraph">
                        <wp:posOffset>34290</wp:posOffset>
                      </wp:positionV>
                      <wp:extent cx="1143000" cy="228600"/>
                      <wp:effectExtent l="0" t="0" r="3175" b="0"/>
                      <wp:wrapNone/>
                      <wp:docPr id="72" name="DT"/>
                      <wp:cNvGraphicFramePr/>
                      <a:graphic xmlns:a="http://schemas.openxmlformats.org/drawingml/2006/main">
                        <a:graphicData uri="http://schemas.microsoft.com/office/word/2010/wordprocessingShape">
                          <wps:wsp>
                            <wps:cNvSpPr>
                              <a:spLocks noChangeArrowheads="true"/>
                            </wps:cNvSpPr>
                            <wps:spPr bwMode="auto">
                              <a:xfrm>
                                <a:off x="0" y="0"/>
                                <a:ext cx="1143000" cy="228600"/>
                              </a:xfrm>
                              <a:prstGeom prst="rect">
                                <a:avLst/>
                              </a:prstGeom>
                              <a:solidFill>
                                <a:srgbClr val="FFFFFF"/>
                              </a:solidFill>
                              <a:ln>
                                <a:noFill/>
                              </a:ln>
                            </wps:spPr>
                            <wps:bodyPr rot="0" vert="horz" wrap="square" lIns="91440" tIns="45720" rIns="91440" bIns="45720" anchor="t" anchorCtr="false" upright="true">
                              <a:noAutofit/>
                            </wps:bodyPr>
                          </wps:wsp>
                        </a:graphicData>
                      </a:graphic>
                    </wp:anchor>
                  </w:drawing>
                </mc:Choice>
                <mc:Fallback>
                  <w:pict>
                    <v:rect id="DT" o:spid="_x0000_s1026" o:spt="1" style="position:absolute;left:0pt;margin-left:372.8pt;margin-top:2.7pt;height:18pt;width:90pt;z-index:-251672576;mso-width-relative:page;mso-height-relative:page;" fillcolor="#FFFFFF" filled="t" stroked="f" coordsize="21600,21600" o:gfxdata="UEsFBgAAAAAAAAAAAAAAAAAAAAAAAFBLAwQKAAAAAACHTuJAAAAAAAAAAAAAAAAABAAAAGRycy9Q&#10;SwMEFAAAAAgAh07iQB5g8svWAAAACAEAAA8AAABkcnMvZG93bnJldi54bWxNjzFPwzAUhHck/oP1&#10;kNionZKENo3TAakTMNAisb7Gr0lE/Bxipw3/HneC8XSnu+/K7Wx7cabRd441JAsFgrh2puNGw8dh&#10;97AC4QOywd4xafghD9vq9qbEwrgLv9N5HxoRS9gXqKENYSik9HVLFv3CDcTRO7nRYohybKQZ8RLL&#10;bS+XSuXSYsdxocWBnluqv/aT1YB5ar7fTo+vh5cpx3Uzq132qbS+v0vUBkSgOfyF4Yof0aGKTEc3&#10;sfGi1/CUZnmMashSENFfL6/6qCFNUpBVKf8fqH4BUEsDBBQAAAAIAIdO4kBrwkUr9AEAAN0DAAAO&#10;AAAAZHJzL2Uyb0RvYy54bWytU1Fv0zAQfkfiP1h+p0lD2UbUdJpaFSENmLTxA1zHTiwcnzm7Tcev&#10;5+x0pcAbIg/Wne/u833fXZa3x8Gyg8JgwDV8Pis5U05Ca1zX8K9P2zc3nIUoXCssONXwZxX47er1&#10;q+Xoa1VBD7ZVyAjEhXr0De9j9HVRBNmrQYQZeOUoqAEHEcnFrmhRjIQ+2KIqy6tiBGw9glQh0O1m&#10;CvJVxtdayfhF66Aisw2n3mI+MZ+7dBarpag7FL438tSG+IcuBmEcPXqG2ogo2B7NX1CDkQgBdJxJ&#10;GArQ2kiVORCbefkHm8deeJW5kDjBn2UK/w9Wfj48IDNtw68rzpwYaEabpyTL6ENN0Uf/gIlY8Pcg&#10;vwXmYN0L16k7RBh7JVpqJuJepZLit5rkBKpmu/ETtIQr9hGySEeNQ8Ik+uyYZ/F8noU6Ribpcj5f&#10;vC1LGpmkWFXdXJGdnhD1S7XHED8oGFgyGo4064wuDvchTqkvKZkAWNNujbXZwW63tsgOgvZim78T&#10;erhMsy4lO0hlE2K6yTQTs0mkHbTPxBJhWi76GcjoAX9wNtJiNTx83wtUnNmPjsR6P18s0iZmZ/Hu&#10;uiIHLyO7y4hwkqBIYs4mcx3J08IGAtx7NF1Pr+UBTK3ekcjaZP5pAFNzp55ph7KCp31PS3rp56xf&#10;f+X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B5g8svWAAAACAEAAA8AAAAAAAAAAQAgAAAAOAAA&#10;AGRycy9kb3ducmV2LnhtbFBLAQIUABQAAAAIAIdO4kBrwkUr9AEAAN0DAAAOAAAAAAAAAAEAIAAA&#10;ADsBAABkcnMvZTJvRG9jLnhtbFBLBQYAAAAABgAGAFkBAAChBQAAAAA=&#10;">
                      <v:fill on="t" focussize="0,0"/>
                      <v:stroke on="f"/>
                      <v:imagedata o:title=""/>
                      <o:lock v:ext="edit" aspectratio="f"/>
                    </v:rect>
                  </w:pict>
                </mc:Fallback>
              </mc:AlternateContent>
            </w:r>
            <w:r>
              <w:fldChar w:fldCharType="begin">
                <w:ffData>
                  <w:name w:val="DT"/>
                  <w:enabled/>
                  <w:calcOnExit w:val="0"/>
                  <w:textInput/>
                </w:ffData>
              </w:fldChar>
            </w:r>
            <w:r>
              <w:instrText xml:space="preserve"> FORMTEXT </w:instrText>
            </w:r>
            <w:r>
              <w:fldChar w:fldCharType="separate"/>
            </w:r>
            <w:r>
              <w:t>     </w:t>
            </w:r>
            <w:r>
              <w:fldChar w:fldCharType="end"/>
            </w:r>
            <w:bookmarkEnd w:id="8"/>
          </w:p>
        </w:tc>
      </w:tr>
    </w:tbl>
    <w:p>
      <w:pPr>
        <w:pStyle w:val="42"/>
        <w:framePr/>
        <w:rPr>
          <w:rFonts w:hAnsi="黑体"/>
        </w:rPr>
      </w:pPr>
    </w:p>
    <w:p>
      <w:pPr>
        <w:pStyle w:val="42"/>
        <w:framePr/>
        <w:rPr>
          <w:rFonts w:hAnsi="黑体"/>
        </w:rPr>
      </w:pPr>
    </w:p>
    <w:p>
      <w:pPr>
        <w:pStyle w:val="73"/>
        <w:framePr/>
      </w:pPr>
      <w:bookmarkStart w:id="9" w:name="StdName"/>
      <w:r>
        <w:fldChar w:fldCharType="begin">
          <w:ffData>
            <w:name w:val="StdName"/>
            <w:enabled/>
            <w:calcOnExit w:val="0"/>
            <w:textInput>
              <w:default w:val="建宁驿站建设与管理规范"/>
            </w:textInput>
          </w:ffData>
        </w:fldChar>
      </w:r>
      <w:r>
        <w:instrText xml:space="preserve"> FORMTEXT </w:instrText>
      </w:r>
      <w:r>
        <w:fldChar w:fldCharType="separate"/>
      </w:r>
      <w:r>
        <w:rPr>
          <w:rFonts w:hint="eastAsia"/>
        </w:rPr>
        <w:t>建宁驿站建设与管理规范</w:t>
      </w:r>
      <w:r>
        <w:fldChar w:fldCharType="end"/>
      </w:r>
      <w:bookmarkEnd w:id="9"/>
    </w:p>
    <w:p>
      <w:pPr>
        <w:pStyle w:val="74"/>
        <w:framePr/>
      </w:pPr>
      <w:bookmarkStart w:id="10" w:name="StdEnglishName"/>
      <w:r>
        <w:fldChar w:fldCharType="begin">
          <w:ffData>
            <w:name w:val="StdEnglishName"/>
            <w:enabled/>
            <w:calcOnExit w:val="0"/>
            <w:textInput>
              <w:default w:val="Specification for construction and management of &quot;JianNing post&quot;"/>
            </w:textInput>
          </w:ffData>
        </w:fldChar>
      </w:r>
      <w:r>
        <w:instrText xml:space="preserve"> FORMTEXT </w:instrText>
      </w:r>
      <w:r>
        <w:fldChar w:fldCharType="separate"/>
      </w:r>
      <w:r>
        <w:t>Specification for construction and management of "JianNing post"</w:t>
      </w:r>
      <w:r>
        <w:fldChar w:fldCharType="end"/>
      </w:r>
      <w:bookmarkEnd w:id="10"/>
    </w:p>
    <w:p>
      <w:pPr>
        <w:pStyle w:val="75"/>
        <w:framePr/>
      </w:pPr>
      <w:bookmarkStart w:id="11" w:name="YZBS"/>
      <w:r>
        <w:fldChar w:fldCharType="begin">
          <w:ffData>
            <w:name w:val="YZBS"/>
            <w:enabled/>
            <w:calcOnExit w:val="0"/>
            <w:textInput>
              <w:default w:val="在提交反馈意见时，请将您知道的相关专利连同支持性文件一并附上。"/>
            </w:textInput>
          </w:ffData>
        </w:fldChar>
      </w:r>
      <w:r>
        <w:instrText xml:space="preserve"> FORMTEXT </w:instrText>
      </w:r>
      <w:r>
        <w:fldChar w:fldCharType="separate"/>
      </w:r>
      <w:r>
        <w:rPr>
          <w:rFonts w:hint="eastAsia"/>
        </w:rPr>
        <w:t>在提交反馈意见时，请将您知道的相关专利连同支持性文件一并附上。</w:t>
      </w:r>
      <w:r>
        <w:fldChar w:fldCharType="end"/>
      </w:r>
      <w:bookmarkEnd w:id="11"/>
    </w:p>
    <w:tbl>
      <w:tblPr>
        <w:tblStyle w:val="2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pPr>
              <w:pStyle w:val="76"/>
              <w:framePr/>
            </w:pPr>
            <w:r>
              <mc:AlternateContent>
                <mc:Choice Requires="wps">
                  <w:drawing>
                    <wp:anchor distT="0" distB="0" distL="114300" distR="114300" simplePos="0" relativeHeight="251645952" behindDoc="1" locked="1" layoutInCell="1" allowOverlap="1">
                      <wp:simplePos x="0" y="0"/>
                      <wp:positionH relativeFrom="column">
                        <wp:posOffset>2200910</wp:posOffset>
                      </wp:positionH>
                      <wp:positionV relativeFrom="paragraph">
                        <wp:posOffset>573405</wp:posOffset>
                      </wp:positionV>
                      <wp:extent cx="1905000" cy="254000"/>
                      <wp:effectExtent l="0" t="0" r="3175" b="3175"/>
                      <wp:wrapNone/>
                      <wp:docPr id="71" name="RQ"/>
                      <wp:cNvGraphicFramePr/>
                      <a:graphic xmlns:a="http://schemas.openxmlformats.org/drawingml/2006/main">
                        <a:graphicData uri="http://schemas.microsoft.com/office/word/2010/wordprocessingShape">
                          <wps:wsp>
                            <wps:cNvSpPr>
                              <a:spLocks noChangeArrowheads="true"/>
                            </wps:cNvSpPr>
                            <wps:spPr bwMode="auto">
                              <a:xfrm>
                                <a:off x="0" y="0"/>
                                <a:ext cx="1905000" cy="254000"/>
                              </a:xfrm>
                              <a:prstGeom prst="rect">
                                <a:avLst/>
                              </a:prstGeom>
                              <a:solidFill>
                                <a:srgbClr val="FFFFFF"/>
                              </a:solidFill>
                              <a:ln>
                                <a:noFill/>
                              </a:ln>
                            </wps:spPr>
                            <wps:bodyPr rot="0" vert="horz" wrap="square" lIns="91440" tIns="45720" rIns="91440" bIns="45720" anchor="t" anchorCtr="false" upright="true">
                              <a:noAutofit/>
                            </wps:bodyPr>
                          </wps:wsp>
                        </a:graphicData>
                      </a:graphic>
                    </wp:anchor>
                  </w:drawing>
                </mc:Choice>
                <mc:Fallback>
                  <w:pict>
                    <v:rect id="RQ" o:spid="_x0000_s1026" o:spt="1" style="position:absolute;left:0pt;margin-left:173.3pt;margin-top:45.15pt;height:20pt;width:150pt;z-index:-251670528;mso-width-relative:page;mso-height-relative:page;" fillcolor="#FFFFFF" filled="t" stroked="f" coordsize="21600,21600" o:gfxdata="UEsFBgAAAAAAAAAAAAAAAAAAAAAAAFBLAwQKAAAAAACHTuJAAAAAAAAAAAAAAAAABAAAAGRycy9Q&#10;SwMEFAAAAAgAh07iQAWJrpLVAAAACgEAAA8AAABkcnMvZG93bnJldi54bWxNj8FOwzAMhu9Ie4fI&#10;k7ixZHRErDTdAWkn4LANiavXeG1Fk5Qm3crbY3aBo39/+v252EyuE2caYhu8geVCgSBfBdv62sD7&#10;YXv3CCIm9Ba74MnAN0XYlLObAnMbLn5H532qBZf4mKOBJqU+lzJWDTmMi9CT590pDA4Tj0Mt7YAX&#10;LnedvFdKS4et5wsN9vTcUPW5H50B1Cv79XbKXg8vo8Z1Pantw4cy5na+VE8gEk3pD4ZffVaHkp2O&#10;YfQ2is5AttKaUQNrlYFgQF+DI5MZJ7Is5P8Xyh9QSwMEFAAAAAgAh07iQGCdkZ70AQAA3QMAAA4A&#10;AABkcnMvZTJvRG9jLnhtbK1TUW/TMBB+R+I/WH6nSauWsajpNHUqQhowGPsBrmMnFo7PnN2m5ddz&#10;drpS2BsiD9ad7+7zfd9dljeH3rK9wmDA1Xw6KTlTTkJjXFvzp2+bN+84C1G4RlhwquZHFfjN6vWr&#10;5eArNYMObKOQEYgL1eBr3sXoq6IIslO9CBPwylFQA/Yikott0aAYCL23xaws3xYDYOMRpAqBbu/G&#10;IF9lfK2VjJ+1DioyW3PqLeYT87lNZ7FaiqpF4TsjT22If+iiF8bRo2eoOxEF26F5AdUbiRBAx4mE&#10;vgCtjVSZA7GZln+xeeyEV5kLiRP8Wabw/2Dlp/0DMtPU/GrKmRM9zejrlyTL4ENF0Uf/gIlY8Pcg&#10;vwfmYN0J16pbRBg6JRpqJuJOpZLij5rkBKpm2+EjNIQrdhGySAeNfcIk+uyQZ3E8z0IdIpN0Ob0u&#10;F2VJI5MUmy3myU5PiOq52mOI7xX0LBk1R5p1Rhf7+xDH1OeUTACsaTbG2uxgu11bZHtBe7HJ3wk9&#10;XKZZl5IdpLIRMd1kmonZKNIWmiOxRBiXi34GMjrAn5wNtFg1Dz92AhVn9oMjsa6n83naxOzMF1cz&#10;cvAysr2MCCcJiiTmbDTXkTwtbCDAnUfTdvRaHsDY6i2JrE3mnwYwNnfqmXYoK3ja97Skl37O+v1X&#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BYmuktUAAAAKAQAADwAAAAAAAAABACAAAAA4AAAA&#10;ZHJzL2Rvd25yZXYueG1sUEsBAhQAFAAAAAgAh07iQGCdkZ70AQAA3QMAAA4AAAAAAAAAAQAgAAAA&#10;OgEAAGRycy9lMm9Eb2MueG1sUEsFBgAAAAAGAAYAWQEAAKAFAAAAAA==&#10;">
                      <v:fill on="t" focussize="0,0"/>
                      <v:stroke on="f"/>
                      <v:imagedata o:title=""/>
                      <o:lock v:ext="edit" aspectratio="f"/>
                      <w10:anchorlock/>
                    </v:rect>
                  </w:pict>
                </mc:Fallback>
              </mc:AlternateContent>
            </w:r>
            <w:r>
              <mc:AlternateContent>
                <mc:Choice Requires="wps">
                  <w:drawing>
                    <wp:anchor distT="0" distB="0" distL="114300" distR="114300" simplePos="0" relativeHeight="251644928" behindDoc="1" locked="0" layoutInCell="1" allowOverlap="1">
                      <wp:simplePos x="0" y="0"/>
                      <wp:positionH relativeFrom="column">
                        <wp:posOffset>2454910</wp:posOffset>
                      </wp:positionH>
                      <wp:positionV relativeFrom="paragraph">
                        <wp:posOffset>255905</wp:posOffset>
                      </wp:positionV>
                      <wp:extent cx="1270000" cy="304800"/>
                      <wp:effectExtent l="3175" t="0" r="3175" b="3175"/>
                      <wp:wrapNone/>
                      <wp:docPr id="70" name="LB"/>
                      <wp:cNvGraphicFramePr/>
                      <a:graphic xmlns:a="http://schemas.openxmlformats.org/drawingml/2006/main">
                        <a:graphicData uri="http://schemas.microsoft.com/office/word/2010/wordprocessingShape">
                          <wps:wsp>
                            <wps:cNvSpPr>
                              <a:spLocks noChangeArrowheads="true"/>
                            </wps:cNvSpPr>
                            <wps:spPr bwMode="auto">
                              <a:xfrm>
                                <a:off x="0" y="0"/>
                                <a:ext cx="1270000" cy="304800"/>
                              </a:xfrm>
                              <a:prstGeom prst="rect">
                                <a:avLst/>
                              </a:prstGeom>
                              <a:solidFill>
                                <a:srgbClr val="FFFFFF"/>
                              </a:solidFill>
                              <a:ln>
                                <a:noFill/>
                              </a:ln>
                            </wps:spPr>
                            <wps:bodyPr rot="0" vert="horz" wrap="square" lIns="91440" tIns="45720" rIns="91440" bIns="45720" anchor="t" anchorCtr="false" upright="true">
                              <a:noAutofit/>
                            </wps:bodyPr>
                          </wps:wsp>
                        </a:graphicData>
                      </a:graphic>
                    </wp:anchor>
                  </w:drawing>
                </mc:Choice>
                <mc:Fallback>
                  <w:pict>
                    <v:rect id="LB" o:spid="_x0000_s1026" o:spt="1" style="position:absolute;left:0pt;margin-left:193.3pt;margin-top:20.15pt;height:24pt;width:100pt;z-index:-251671552;mso-width-relative:page;mso-height-relative:page;" fillcolor="#FFFFFF" filled="t" stroked="f" coordsize="21600,21600" o:gfxdata="UEsFBgAAAAAAAAAAAAAAAAAAAAAAAFBLAwQKAAAAAACHTuJAAAAAAAAAAAAAAAAABAAAAGRycy9Q&#10;SwMEFAAAAAgAh07iQAPhi+XWAAAACQEAAA8AAABkcnMvZG93bnJldi54bWxNj8FOwzAMhu9IvENk&#10;JG4sGd2iUprugLQTcGBD4uo1XlvROKVJt/L2BC7saPvT7+8vN7PrxYnG0Hk2sFwoEMS1tx03Bt73&#10;27scRIjIFnvPZOCbAmyq66sSC+vP/EanXWxECuFQoIE2xqGQMtQtOQwLPxCn29GPDmMax0baEc8p&#10;3PXyXiktHXacPrQ40FNL9educgZQr+zX6zF72T9PGh+aWW3XH8qY25ulegQRaY7/MPzqJ3WoktPB&#10;T2yD6A1kudYJNbBSGYgErP8WBwN5noGsSnnZoPoBUEsDBBQAAAAIAIdO4kDhzCjW8gEAAN0DAAAO&#10;AAAAZHJzL2Uyb0RvYy54bWytU8GO0zAQvSPxD5bvNGkpdImarpauipDKstLCB7iOnVg4HjN2m5av&#10;Z+x0S4EbwgfL45l5nvdmvLw99pYdFAYDrubTScmZchIa49qaf/2yeXXDWYjCNcKCUzU/qcBvVy9f&#10;LAdfqRl0YBuFjEBcqAZf8y5GXxVFkJ3qRZiAV46cGrAXkUxsiwbFQOi9LWZl+bYYABuPIFUIdHs/&#10;Ovkq42utZPysdVCR2ZpTbTHvmPdd2ovVUlQtCt8ZeS5D/EMVvTCOHr1A3Yso2B7NX1C9kQgBdJxI&#10;6AvQ2kiVORCbafkHm6dOeJW5kDjBX2QK/w9WPhwekZmm5guSx4meerR9n2QZfKjI++QfMRELfgvy&#10;W2AO1p1wrbpDhKFToqFiIu5VSil+y0lGoGy2Gz5BQ7hiHyGLdNTYJ0yiz465F6dLL9QxMkmX09mi&#10;pMWZJN/rcn5D5/SEqJ6zPYb4QUHP0qHmSL3O6OKwDXEMfQ7JBMCaZmOszQa2u7VFdhA0F5u8zujh&#10;Osy6FOwgpY2I6SbTTMxGkXbQnIglwjhc9Bno0AH+4Gygwap5+L4XqDizHx2J9W46n6dJzMb8zWJG&#10;Bl57dtce4SRBkcScjcd1JEsLGwhw79G0Hb2WGzCWekcia5P5pwaMxZ1rphnKCp7nPQ3ptZ2jfv3K&#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D4Yvl1gAAAAkBAAAPAAAAAAAAAAEAIAAAADgAAABk&#10;cnMvZG93bnJldi54bWxQSwECFAAUAAAACACHTuJA4cwo1vIBAADdAwAADgAAAAAAAAABACAAAAA7&#10;AQAAZHJzL2Uyb0RvYy54bWxQSwUGAAAAAAYABgBZAQAAnwUAAAAA&#10;">
                      <v:fill on="t" focussize="0,0"/>
                      <v:stroke on="f"/>
                      <v:imagedata o:title=""/>
                      <o:lock v:ext="edit" aspectratio="f"/>
                    </v:rect>
                  </w:pict>
                </mc:Fallback>
              </mc:AlternateContent>
            </w:r>
            <w:r>
              <w:fldChar w:fldCharType="begin">
                <w:ffData>
                  <w:name w:val="LB"/>
                  <w:enabled/>
                  <w:calcOnExit w:val="0"/>
                  <w:ddList>
                    <w:result w:val="2"/>
                    <w:listEntry w:val="文稿版次选择"/>
                    <w:listEntry w:val="（工作组讨论稿）"/>
                    <w:listEntry w:val="（征求意见稿）"/>
                    <w:listEntry w:val="（送审讨论稿）"/>
                    <w:listEntry w:val="（送审稿）"/>
                    <w:listEntry w:val="（报批稿）"/>
                  </w:ddList>
                </w:ffData>
              </w:fldChar>
            </w:r>
            <w:bookmarkStart w:id="12" w:name="LB"/>
            <w:r>
              <w:instrText xml:space="preserve"> FORMDROPDOWN </w:instrText>
            </w:r>
            <w:r>
              <w:fldChar w:fldCharType="separate"/>
            </w:r>
            <w:r>
              <w:fldChar w:fldCharType="end"/>
            </w:r>
            <w:bookmarkEnd w:id="12"/>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pPr>
              <w:pStyle w:val="77"/>
              <w:framePr/>
            </w:pPr>
            <w:bookmarkStart w:id="13" w:name="WCRQ"/>
            <w:r>
              <w:fldChar w:fldCharType="begin">
                <w:ffData>
                  <w:name w:val="WCRQ"/>
                  <w:enabled/>
                  <w:calcOnExit w:val="0"/>
                  <w:textInput/>
                </w:ffData>
              </w:fldChar>
            </w:r>
            <w:r>
              <w:instrText xml:space="preserve"> FORMTEXT </w:instrText>
            </w:r>
            <w:r>
              <w:fldChar w:fldCharType="separate"/>
            </w:r>
            <w:r>
              <w:t>     </w:t>
            </w:r>
            <w:r>
              <w:fldChar w:fldCharType="end"/>
            </w:r>
            <w:bookmarkEnd w:id="13"/>
          </w:p>
        </w:tc>
      </w:tr>
    </w:tbl>
    <w:p>
      <w:pPr>
        <w:pStyle w:val="126"/>
        <w:framePr w:hAnchor="page" w:x="1316" w:y="14087"/>
      </w:pPr>
      <w:bookmarkStart w:id="14" w:name="FY"/>
      <w:r>
        <w:rPr>
          <w:rFonts w:ascii="黑体"/>
        </w:rPr>
        <w:fldChar w:fldCharType="begin">
          <w:ffData>
            <w:name w:val="FY"/>
            <w:enabled/>
            <w:calcOnExit w:val="0"/>
            <w:textInput>
              <w:default w:val="XXXX"/>
              <w:maxLength w:val="4"/>
            </w:textInput>
          </w:ffData>
        </w:fldChar>
      </w:r>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FM"/>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r>
        <w:t xml:space="preserve"> </w:t>
      </w:r>
      <w:r>
        <w:rPr>
          <w:rFonts w:ascii="黑体"/>
        </w:rPr>
        <w:t>-</w:t>
      </w:r>
      <w:r>
        <w:t xml:space="preserve"> </w:t>
      </w:r>
      <w:bookmarkStart w:id="15" w:name="FD"/>
      <w:r>
        <w:rPr>
          <w:rFonts w:ascii="黑体"/>
        </w:rPr>
        <w:fldChar w:fldCharType="begin">
          <w:ffData>
            <w:name w:val="FD"/>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rPr>
          <w:rFonts w:hint="eastAsia"/>
        </w:rPr>
        <w:t>发布</w:t>
      </w:r>
      <w:r>
        <mc:AlternateContent>
          <mc:Choice Requires="wps">
            <w:drawing>
              <wp:anchor distT="0" distB="0" distL="114300" distR="114300" simplePos="0" relativeHeight="251641856" behindDoc="0" locked="1" layoutInCell="1" allowOverlap="1">
                <wp:simplePos x="0" y="0"/>
                <wp:positionH relativeFrom="column">
                  <wp:posOffset>-635</wp:posOffset>
                </wp:positionH>
                <wp:positionV relativeFrom="page">
                  <wp:posOffset>9251950</wp:posOffset>
                </wp:positionV>
                <wp:extent cx="6120130" cy="0"/>
                <wp:effectExtent l="13970" t="12700" r="9525" b="6350"/>
                <wp:wrapNone/>
                <wp:docPr id="69" name="Line 2"/>
                <wp:cNvGraphicFramePr/>
                <a:graphic xmlns:a="http://schemas.openxmlformats.org/drawingml/2006/main">
                  <a:graphicData uri="http://schemas.microsoft.com/office/word/2010/wordprocessingShape">
                    <wps:wsp>
                      <wps:cNvCnPr>
                        <a:cxnSpLocks noChangeShapeType="true"/>
                      </wps:cNvCnPr>
                      <wps:spPr bwMode="auto">
                        <a:xfrm>
                          <a:off x="0" y="0"/>
                          <a:ext cx="6120130" cy="0"/>
                        </a:xfrm>
                        <a:prstGeom prst="line">
                          <a:avLst/>
                        </a:prstGeom>
                        <a:noFill/>
                        <a:ln w="9525">
                          <a:solidFill>
                            <a:srgbClr val="000000"/>
                          </a:solidFill>
                          <a:round/>
                        </a:ln>
                      </wps:spPr>
                      <wps:bodyPr/>
                    </wps:wsp>
                  </a:graphicData>
                </a:graphic>
              </wp:anchor>
            </w:drawing>
          </mc:Choice>
          <mc:Fallback>
            <w:pict>
              <v:line id="Line 2" o:spid="_x0000_s1026" o:spt="20" style="position:absolute;left:0pt;margin-left:-0.05pt;margin-top:728.5pt;height:0pt;width:481.9pt;mso-position-vertical-relative:page;z-index:251641856;mso-width-relative:page;mso-height-relative:page;" filled="f" stroked="t" coordsize="21600,21600" o:gfxdata="UEsFBgAAAAAAAAAAAAAAAAAAAAAAAFBLAwQKAAAAAACHTuJAAAAAAAAAAAAAAAAABAAAAGRycy9Q&#10;SwMEFAAAAAgAh07iQCWHazzWAAAACwEAAA8AAABkcnMvZG93bnJldi54bWxNjz1PwzAQhnck/oN1&#10;SCxVa6eFFkKcDkA2lpZWrNfkSCLicxq7H/DrOQYE47336P3IlmfXqSMNofVsIZkYUMSlr1quLWxe&#10;i/EdqBCRK+w8k4VPCrDMLy8yTCt/4hUd17FWYsIhRQtNjH2qdSgbchgmvieW37sfHEY5h1pXA57E&#10;3HV6asxcO2xZEhrs6bGh8mN9cBZCsaV98TUqR+ZtVnua7p9entHa66vEPICKdI5/MPzUl+qQS6ed&#10;P3AVVGdhnAgo8s3tQjYJcD+fLUDtfiWdZ/r/hvwbUEsDBBQAAAAIAIdO4kBxbHPIsAEAAFUDAAAO&#10;AAAAZHJzL2Uyb0RvYy54bWytU01vGyEQvVfqf0Dc67VdxWpWXufgKL04iaWkPwADu4sCDBqwd/3v&#10;M+CPpu2tyh7Qwsy8ee8NLO9GZ9lBYzTgGz6bTDnTXoIyvmv4r9eHbz84i0l4JSx43fCjjvxu9fXL&#10;cgi1nkMPVmlkBOJjPYSG9ymFuqqi7LUTcQJBewq2gE4k2mJXKRQDoTtbzafTRTUAqoAgdYx0en8K&#10;8lXBb1st03PbRp2YbThxS2XFsu7yWq2Wou5QhN7IMw3xHyycMJ6aXqHuRRJsj+YfKGckQoQ2TSS4&#10;CtrWSF00kJrZ9C81L70Iumghc2K42hQ/D1Y+HbbIjGr44pYzLxzNaGO8ZvNszRBiTRlrv8UsTo7+&#10;JWxAvkXmYd0L3+lC8fUYqCzhXuei6o+qvImBeuyGR1CUJvYJilVjiy6jkglsLBM5Xieix8QkHS5m&#10;ZMt3Gpy8xCpRXwoDxvRTg2P5p+GWaBdgcdjElImI+pKS+3h4MNaWgVvPhobf3sxvSkEEa1QO5rSI&#10;3W5tkR1EvjLlK6oo8jENYe/VqYn1Z9FZ58m0HajjFi9m0OwKm/M9y5fj475U/34Nq3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WAAAAZHJz&#10;L1BLAQIUABQAAAAIAIdO4kAlh2s81gAAAAsBAAAPAAAAAAAAAAEAIAAAADgAAABkcnMvZG93bnJl&#10;di54bWxQSwECFAAUAAAACACHTuJAcWxzyLABAABVAwAADgAAAAAAAAABACAAAAA7AQAAZHJzL2Uy&#10;b0RvYy54bWxQSwUGAAAAAAYABgBZAQAAXQUAAAAA&#10;">
                <v:fill on="f" focussize="0,0"/>
                <v:stroke color="#000000" joinstyle="round"/>
                <v:imagedata o:title=""/>
                <o:lock v:ext="edit" aspectratio="f"/>
                <w10:anchorlock/>
              </v:line>
            </w:pict>
          </mc:Fallback>
        </mc:AlternateContent>
      </w:r>
    </w:p>
    <w:p>
      <w:pPr>
        <w:pStyle w:val="127"/>
        <w:framePr w:hAnchor="page" w:x="7006"/>
      </w:pPr>
      <w:bookmarkStart w:id="16" w:name="SY"/>
      <w:r>
        <w:rPr>
          <w:rFonts w:ascii="黑体"/>
        </w:rPr>
        <w:fldChar w:fldCharType="begin">
          <w:ffData>
            <w:name w:val="SY"/>
            <w:enabled/>
            <w:calcOnExit w:val="0"/>
            <w:textInput>
              <w:default w:val="XXXX"/>
              <w:maxLength w:val="4"/>
            </w:textInput>
          </w:ffData>
        </w:fldChar>
      </w:r>
      <w:r>
        <w:rPr>
          <w:rFonts w:ascii="黑体"/>
        </w:rPr>
        <w:instrText xml:space="preserve"> FORMTEXT </w:instrText>
      </w:r>
      <w:r>
        <w:rPr>
          <w:rFonts w:ascii="黑体"/>
        </w:rPr>
        <w:fldChar w:fldCharType="separate"/>
      </w:r>
      <w:r>
        <w:rPr>
          <w:rFonts w:ascii="黑体"/>
        </w:rPr>
        <w:t>XXXX</w:t>
      </w:r>
      <w:r>
        <w:rPr>
          <w:rFonts w:ascii="黑体"/>
        </w:rPr>
        <w:fldChar w:fldCharType="end"/>
      </w:r>
      <w:bookmarkEnd w:id="16"/>
      <w:r>
        <w:t xml:space="preserve"> </w:t>
      </w:r>
      <w:r>
        <w:rPr>
          <w:rFonts w:ascii="黑体"/>
        </w:rPr>
        <w:t>-</w:t>
      </w:r>
      <w:r>
        <w:t xml:space="preserve"> </w:t>
      </w:r>
      <w:bookmarkStart w:id="17" w:name="SM"/>
      <w:r>
        <w:rPr>
          <w:rFonts w:ascii="黑体"/>
        </w:rPr>
        <w:fldChar w:fldCharType="begin">
          <w:ffData>
            <w:name w:val="SM"/>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t xml:space="preserve"> </w:t>
      </w:r>
      <w:r>
        <w:rPr>
          <w:rFonts w:ascii="黑体"/>
        </w:rPr>
        <w:t>-</w:t>
      </w:r>
      <w:r>
        <w:t xml:space="preserve"> </w:t>
      </w:r>
      <w:bookmarkStart w:id="18" w:name="SD"/>
      <w:r>
        <w:rPr>
          <w:rFonts w:ascii="黑体"/>
        </w:rPr>
        <w:fldChar w:fldCharType="begin">
          <w:ffData>
            <w:name w:val="SD"/>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rPr>
          <w:rFonts w:hint="eastAsia"/>
        </w:rPr>
        <w:t>实施</w:t>
      </w:r>
    </w:p>
    <w:p>
      <w:pPr>
        <w:pStyle w:val="106"/>
        <w:framePr/>
      </w:pPr>
      <w:bookmarkStart w:id="19" w:name="fm"/>
      <w:r>
        <w:fldChar w:fldCharType="begin">
          <w:ffData>
            <w:name w:val="fm"/>
            <w:enabled/>
            <w:calcOnExit w:val="0"/>
            <w:textInput>
              <w:default w:val="株洲市市场监督管理局"/>
            </w:textInput>
          </w:ffData>
        </w:fldChar>
      </w:r>
      <w:r>
        <w:instrText xml:space="preserve"> FORMTEXT </w:instrText>
      </w:r>
      <w:r>
        <w:fldChar w:fldCharType="separate"/>
      </w:r>
      <w:r>
        <w:rPr>
          <w:rFonts w:hint="eastAsia"/>
        </w:rPr>
        <w:t>株洲市市场监督管理局</w:t>
      </w:r>
      <w:r>
        <w:fldChar w:fldCharType="end"/>
      </w:r>
      <w:bookmarkEnd w:id="19"/>
      <w:r>
        <w:rPr>
          <w:rFonts w:hAnsi="黑体"/>
        </w:rPr>
        <w:t>   </w:t>
      </w:r>
      <w:r>
        <w:rPr>
          <w:rStyle w:val="68"/>
          <w:rFonts w:hint="eastAsia"/>
        </w:rPr>
        <w:t>发布</w:t>
      </w:r>
    </w:p>
    <w:p>
      <w:pPr>
        <w:pStyle w:val="21"/>
        <w:sectPr>
          <w:headerReference r:id="rId5" w:type="first"/>
          <w:headerReference r:id="rId3" w:type="default"/>
          <w:headerReference r:id="rId4" w:type="even"/>
          <w:footerReference r:id="rId6" w:type="even"/>
          <w:pgSz w:w="11906" w:h="16838"/>
          <w:pgMar w:top="567" w:right="1134" w:bottom="1134" w:left="1417" w:header="0" w:footer="0" w:gutter="0"/>
          <w:pgNumType w:start="1"/>
          <w:cols w:space="425" w:num="1"/>
          <w:docGrid w:type="lines" w:linePitch="312" w:charSpace="0"/>
        </w:sectPr>
      </w:pPr>
      <w:r>
        <mc:AlternateContent>
          <mc:Choice Requires="wps">
            <w:drawing>
              <wp:anchor distT="0" distB="0" distL="114300" distR="114300" simplePos="0" relativeHeight="251642880" behindDoc="0" locked="0" layoutInCell="1" allowOverlap="1">
                <wp:simplePos x="0" y="0"/>
                <wp:positionH relativeFrom="column">
                  <wp:posOffset>-635</wp:posOffset>
                </wp:positionH>
                <wp:positionV relativeFrom="paragraph">
                  <wp:posOffset>2339975</wp:posOffset>
                </wp:positionV>
                <wp:extent cx="6120130" cy="0"/>
                <wp:effectExtent l="13335" t="13970" r="10160" b="5080"/>
                <wp:wrapNone/>
                <wp:docPr id="68" name="Line 3"/>
                <wp:cNvGraphicFramePr/>
                <a:graphic xmlns:a="http://schemas.openxmlformats.org/drawingml/2006/main">
                  <a:graphicData uri="http://schemas.microsoft.com/office/word/2010/wordprocessingShape">
                    <wps:wsp>
                      <wps:cNvCnPr>
                        <a:cxnSpLocks noChangeShapeType="true"/>
                      </wps:cNvCnPr>
                      <wps:spPr bwMode="auto">
                        <a:xfrm>
                          <a:off x="0" y="0"/>
                          <a:ext cx="6120130" cy="0"/>
                        </a:xfrm>
                        <a:prstGeom prst="line">
                          <a:avLst/>
                        </a:prstGeom>
                        <a:noFill/>
                        <a:ln w="9525">
                          <a:solidFill>
                            <a:srgbClr val="000000"/>
                          </a:solidFill>
                          <a:round/>
                        </a:ln>
                      </wps:spPr>
                      <wps:bodyPr/>
                    </wps:wsp>
                  </a:graphicData>
                </a:graphic>
              </wp:anchor>
            </w:drawing>
          </mc:Choice>
          <mc:Fallback>
            <w:pict>
              <v:line id="Line 3" o:spid="_x0000_s1026" o:spt="20" style="position:absolute;left:0pt;margin-left:-0.05pt;margin-top:184.25pt;height:0pt;width:481.9pt;z-index:251642880;mso-width-relative:page;mso-height-relative:page;" filled="f" stroked="t" coordsize="21600,21600" o:gfxdata="UEsFBgAAAAAAAAAAAAAAAAAAAAAAAFBLAwQKAAAAAACHTuJAAAAAAAAAAAAAAAAABAAAAGRycy9Q&#10;SwMEFAAAAAgAh07iQEJB4l/XAAAACQEAAA8AAABkcnMvZG93bnJldi54bWxNj81OwzAQhO9IfQdr&#10;kbhUrZ1GhBLi9FDIjQttEddtvCQR8TqN3R94eoyEBMfZGc18W6wuthcnGn3nWEMyVyCIa2c6bjTs&#10;ttVsCcIHZIO9Y9LwSR5W5eSqwNy4M7/QaRMaEUvY56ihDWHIpfR1Sxb93A3E0Xt3o8UQ5dhIM+I5&#10;ltteLpTKpMWO40KLA61bqj82R6vBV690qL6m9VS9pY2jxeHx+Qm1vrlO1AOIQJfwF4Yf/IgOZWTa&#10;uyMbL3oNsyQGNaTZ8hZE9O+z9A7E/vciy0L+/6D8BlBLAwQUAAAACACHTuJA6ZEZQrABAABVAwAA&#10;DgAAAGRycy9lMm9Eb2MueG1srVNNbxshEL1X6n9A3Ou1HcVKV17n4Ci9uImlpD8AA7uLAgwasHf9&#10;7zPgj6btrcoe0MLMvJn3HizvR2fZQWM04Bs+m0w5016CMr5r+K/Xx293nMUkvBIWvG74UUd+v/r6&#10;ZTmEWs+hB6s0MgLxsR5Cw/uUQl1VUfbaiTiBoD0FW0AnEm2xqxSKgdCdrebT6aIaAFVAkDpGOn04&#10;Bfmq4Letlum5baNOzDacZktlxbLu8lqtlqLuUITeyPMY4j+mcMJ4anqFehBJsD2af6CckQgR2jSR&#10;4CpoWyN14UBsZtO/2Lz0IujChcSJ4SpT/DxY+XTYIjOq4QtyygtHHm2M1+wmSzOEWFPG2m8xk5Oj&#10;fwkbkG+ReVj3wne6jPh6DFSWcK9zUfVHVd7EQD12w09QlCb2CYpUY4suo5IIbCyOHK+O6DExSYeL&#10;GclyQ8bJS6wS9aUwYEw/NDiWfxpuaewCLA6bmPIgor6k5D4eHo21xXDr2dDw77fz21IQwRqVgzkt&#10;YrdbW2QHka9M+QorinxMQ9h7dWpi/Zl05nkSbQfquMWLGORdmeZ8z/Ll+Lgv1b9fw+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FgAAAGRy&#10;cy9QSwECFAAUAAAACACHTuJAQkHiX9cAAAAJAQAADwAAAAAAAAABACAAAAA4AAAAZHJzL2Rvd25y&#10;ZXYueG1sUEsBAhQAFAAAAAgAh07iQOmRGUKwAQAAVQMAAA4AAAAAAAAAAQAgAAAAPAEAAGRycy9l&#10;Mm9Eb2MueG1sUEsFBgAAAAAGAAYAWQEAAF4FAAAAAA==&#10;">
                <v:fill on="f" focussize="0,0"/>
                <v:stroke color="#000000" joinstyle="round"/>
                <v:imagedata o:title=""/>
                <o:lock v:ext="edit" aspectratio="f"/>
              </v:line>
            </w:pict>
          </mc:Fallback>
        </mc:AlternateContent>
      </w:r>
    </w:p>
    <w:p>
      <w:pPr>
        <w:pStyle w:val="45"/>
      </w:pPr>
      <w:bookmarkStart w:id="20" w:name="_Toc115276276"/>
      <w:bookmarkStart w:id="21" w:name="_Toc117168591"/>
      <w:bookmarkStart w:id="22" w:name="_Toc116553073"/>
      <w:bookmarkStart w:id="23" w:name="_Toc115169969"/>
      <w:bookmarkStart w:id="24" w:name="_Toc115257553"/>
      <w:bookmarkStart w:id="25" w:name="_Toc129092895"/>
      <w:bookmarkStart w:id="26" w:name="_Toc115170036"/>
      <w:r>
        <w:rPr>
          <w:rFonts w:hint="eastAsia"/>
        </w:rPr>
        <w:t>目</w:t>
      </w:r>
      <w:bookmarkStart w:id="27" w:name="BKML"/>
      <w:r>
        <w:rPr>
          <w:rFonts w:hAnsi="黑体"/>
        </w:rPr>
        <w:t>  </w:t>
      </w:r>
      <w:r>
        <w:rPr>
          <w:rFonts w:hint="eastAsia"/>
        </w:rPr>
        <w:t>次</w:t>
      </w:r>
      <w:bookmarkEnd w:id="27"/>
    </w:p>
    <w:p>
      <w:pPr>
        <w:pStyle w:val="17"/>
        <w:spacing w:before="78" w:after="78"/>
        <w:rPr>
          <w:rFonts w:asciiTheme="minorHAnsi" w:hAnsiTheme="minorHAnsi" w:eastAsiaTheme="minorEastAsia" w:cstheme="minorBidi"/>
          <w:szCs w:val="22"/>
        </w:rPr>
      </w:pPr>
      <w:r>
        <w:fldChar w:fldCharType="begin" w:fldLock="1"/>
      </w:r>
      <w:r>
        <w:instrText xml:space="preserve"> </w:instrText>
      </w:r>
      <w:r>
        <w:rPr>
          <w:rFonts w:hint="eastAsia"/>
        </w:rPr>
        <w:instrText xml:space="preserve">TOC \h \z \t"前言、引言标题,1,参考文献、索引标题,1,章标题,1,参考文献,1,附录标识,1,一级条标题, 3" \* MERGEFORMAT</w:instrText>
      </w:r>
      <w:r>
        <w:instrText xml:space="preserve"> </w:instrText>
      </w:r>
      <w:r>
        <w:fldChar w:fldCharType="separate"/>
      </w:r>
      <w:r>
        <w:fldChar w:fldCharType="begin"/>
      </w:r>
      <w:r>
        <w:instrText xml:space="preserve"> HYPERLINK \l "_Toc129093079" </w:instrText>
      </w:r>
      <w:r>
        <w:fldChar w:fldCharType="separate"/>
      </w:r>
      <w:r>
        <w:rPr>
          <w:rStyle w:val="34"/>
          <w:rFonts w:hint="eastAsia"/>
        </w:rPr>
        <w:t>前言</w:t>
      </w:r>
      <w:r>
        <w:tab/>
      </w:r>
      <w:r>
        <w:fldChar w:fldCharType="begin" w:fldLock="1"/>
      </w:r>
      <w:r>
        <w:instrText xml:space="preserve"> PAGEREF _Toc129093079 \h </w:instrText>
      </w:r>
      <w:r>
        <w:fldChar w:fldCharType="separate"/>
      </w:r>
      <w:r>
        <w:t>II</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"_Toc129093080" </w:instrText>
      </w:r>
      <w:r>
        <w:fldChar w:fldCharType="separate"/>
      </w:r>
      <w:r>
        <w:rPr>
          <w:rStyle w:val="34"/>
        </w:rPr>
        <w:t>1</w:t>
      </w:r>
      <w:r>
        <w:rPr>
          <w:rStyle w:val="34"/>
          <w:rFonts w:hint="eastAsia"/>
        </w:rPr>
        <w:t>　范围</w:t>
      </w:r>
      <w:r>
        <w:tab/>
      </w:r>
      <w:r>
        <w:fldChar w:fldCharType="begin" w:fldLock="1"/>
      </w:r>
      <w:r>
        <w:instrText xml:space="preserve"> PAGEREF _Toc129093080 \h </w:instrText>
      </w:r>
      <w:r>
        <w:fldChar w:fldCharType="separate"/>
      </w:r>
      <w:r>
        <w:t>1</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"_Toc129093081" </w:instrText>
      </w:r>
      <w:r>
        <w:fldChar w:fldCharType="separate"/>
      </w:r>
      <w:r>
        <w:rPr>
          <w:rStyle w:val="34"/>
        </w:rPr>
        <w:t>2</w:t>
      </w:r>
      <w:r>
        <w:rPr>
          <w:rStyle w:val="34"/>
          <w:rFonts w:hint="eastAsia"/>
        </w:rPr>
        <w:t>　规范性引用文件</w:t>
      </w:r>
      <w:r>
        <w:tab/>
      </w:r>
      <w:r>
        <w:fldChar w:fldCharType="begin" w:fldLock="1"/>
      </w:r>
      <w:r>
        <w:instrText xml:space="preserve"> PAGEREF _Toc129093081 \h </w:instrText>
      </w:r>
      <w:r>
        <w:fldChar w:fldCharType="separate"/>
      </w:r>
      <w:r>
        <w:t>1</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"_Toc129093082" </w:instrText>
      </w:r>
      <w:r>
        <w:fldChar w:fldCharType="separate"/>
      </w:r>
      <w:r>
        <w:rPr>
          <w:rStyle w:val="34"/>
        </w:rPr>
        <w:t>3</w:t>
      </w:r>
      <w:r>
        <w:rPr>
          <w:rStyle w:val="34"/>
          <w:rFonts w:hint="eastAsia"/>
        </w:rPr>
        <w:t>　术语和定义</w:t>
      </w:r>
      <w:r>
        <w:tab/>
      </w:r>
      <w:r>
        <w:fldChar w:fldCharType="begin" w:fldLock="1"/>
      </w:r>
      <w:r>
        <w:instrText xml:space="preserve"> PAGEREF _Toc129093082 \h </w:instrText>
      </w:r>
      <w:r>
        <w:fldChar w:fldCharType="separate"/>
      </w:r>
      <w:r>
        <w:t>2</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"_Toc129093083" </w:instrText>
      </w:r>
      <w:r>
        <w:fldChar w:fldCharType="separate"/>
      </w:r>
      <w:r>
        <w:rPr>
          <w:rStyle w:val="34"/>
        </w:rPr>
        <w:t>4</w:t>
      </w:r>
      <w:r>
        <w:rPr>
          <w:rStyle w:val="34"/>
          <w:rFonts w:hint="eastAsia"/>
        </w:rPr>
        <w:t>　符号和缩略语</w:t>
      </w:r>
      <w:r>
        <w:tab/>
      </w:r>
      <w:r>
        <w:fldChar w:fldCharType="begin" w:fldLock="1"/>
      </w:r>
      <w:r>
        <w:instrText xml:space="preserve"> PAGEREF _Toc129093083 \h </w:instrText>
      </w:r>
      <w:r>
        <w:fldChar w:fldCharType="separate"/>
      </w:r>
      <w:r>
        <w:t>3</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"_Toc129093084" </w:instrText>
      </w:r>
      <w:r>
        <w:fldChar w:fldCharType="separate"/>
      </w:r>
      <w:r>
        <w:rPr>
          <w:rStyle w:val="34"/>
        </w:rPr>
        <w:t>5</w:t>
      </w:r>
      <w:r>
        <w:rPr>
          <w:rStyle w:val="34"/>
          <w:rFonts w:hint="eastAsia"/>
        </w:rPr>
        <w:t>　建设要求</w:t>
      </w:r>
      <w:r>
        <w:tab/>
      </w:r>
      <w:r>
        <w:fldChar w:fldCharType="begin" w:fldLock="1"/>
      </w:r>
      <w:r>
        <w:instrText xml:space="preserve"> PAGEREF _Toc129093084 \h </w:instrText>
      </w:r>
      <w:r>
        <w:fldChar w:fldCharType="separate"/>
      </w:r>
      <w:r>
        <w:t>3</w:t>
      </w:r>
      <w:r>
        <w:fldChar w:fldCharType="end"/>
      </w:r>
      <w:r>
        <w:fldChar w:fldCharType="end"/>
      </w:r>
    </w:p>
    <w:p>
      <w:pPr>
        <w:pStyle w:val="10"/>
        <w:ind w:firstLine="210"/>
        <w:rPr>
          <w:rFonts w:asciiTheme="minorHAnsi" w:hAnsiTheme="minorHAnsi" w:eastAsiaTheme="minorEastAsia" w:cstheme="minorBidi"/>
          <w:szCs w:val="22"/>
        </w:rPr>
      </w:pPr>
      <w:r>
        <w:fldChar w:fldCharType="begin"/>
      </w:r>
      <w:r>
        <w:instrText xml:space="preserve"> HYPERLINK \l "_Toc129093085" </w:instrText>
      </w:r>
      <w:r>
        <w:fldChar w:fldCharType="separate"/>
      </w:r>
      <w:r>
        <w:rPr>
          <w:rStyle w:val="34"/>
        </w:rPr>
        <w:t>5.1</w:t>
      </w:r>
      <w:r>
        <w:rPr>
          <w:rStyle w:val="34"/>
          <w:rFonts w:hint="eastAsia"/>
        </w:rPr>
        <w:t>　选址要求</w:t>
      </w:r>
      <w:r>
        <w:tab/>
      </w:r>
      <w:r>
        <w:fldChar w:fldCharType="begin" w:fldLock="1"/>
      </w:r>
      <w:r>
        <w:instrText xml:space="preserve"> PAGEREF _Toc129093085 \h </w:instrText>
      </w:r>
      <w:r>
        <w:fldChar w:fldCharType="separate"/>
      </w:r>
      <w:r>
        <w:t>3</w:t>
      </w:r>
      <w:r>
        <w:fldChar w:fldCharType="end"/>
      </w:r>
      <w:r>
        <w:fldChar w:fldCharType="end"/>
      </w:r>
    </w:p>
    <w:p>
      <w:pPr>
        <w:pStyle w:val="10"/>
        <w:ind w:firstLine="210"/>
        <w:rPr>
          <w:rFonts w:asciiTheme="minorHAnsi" w:hAnsiTheme="minorHAnsi" w:eastAsiaTheme="minorEastAsia" w:cstheme="minorBidi"/>
          <w:szCs w:val="22"/>
        </w:rPr>
      </w:pPr>
      <w:r>
        <w:fldChar w:fldCharType="begin"/>
      </w:r>
      <w:r>
        <w:instrText xml:space="preserve"> HYPERLINK \l "_Toc129093086" </w:instrText>
      </w:r>
      <w:r>
        <w:fldChar w:fldCharType="separate"/>
      </w:r>
      <w:r>
        <w:rPr>
          <w:rStyle w:val="34"/>
        </w:rPr>
        <w:t>5.2</w:t>
      </w:r>
      <w:r>
        <w:rPr>
          <w:rStyle w:val="34"/>
          <w:rFonts w:hint="eastAsia"/>
        </w:rPr>
        <w:t>　设计要求</w:t>
      </w:r>
      <w:r>
        <w:tab/>
      </w:r>
      <w:r>
        <w:fldChar w:fldCharType="begin" w:fldLock="1"/>
      </w:r>
      <w:r>
        <w:instrText xml:space="preserve"> PAGEREF _Toc129093086 \h </w:instrText>
      </w:r>
      <w:r>
        <w:fldChar w:fldCharType="separate"/>
      </w:r>
      <w:r>
        <w:t>4</w:t>
      </w:r>
      <w:r>
        <w:fldChar w:fldCharType="end"/>
      </w:r>
      <w:r>
        <w:fldChar w:fldCharType="end"/>
      </w:r>
    </w:p>
    <w:p>
      <w:pPr>
        <w:pStyle w:val="10"/>
        <w:ind w:firstLine="210"/>
        <w:rPr>
          <w:rFonts w:asciiTheme="minorHAnsi" w:hAnsiTheme="minorHAnsi" w:eastAsiaTheme="minorEastAsia" w:cstheme="minorBidi"/>
          <w:szCs w:val="22"/>
        </w:rPr>
      </w:pPr>
      <w:r>
        <w:fldChar w:fldCharType="begin"/>
      </w:r>
      <w:r>
        <w:instrText xml:space="preserve"> HYPERLINK \l "_Toc129093087" </w:instrText>
      </w:r>
      <w:r>
        <w:fldChar w:fldCharType="separate"/>
      </w:r>
      <w:r>
        <w:rPr>
          <w:rStyle w:val="34"/>
        </w:rPr>
        <w:t>5.3</w:t>
      </w:r>
      <w:r>
        <w:rPr>
          <w:rStyle w:val="34"/>
          <w:rFonts w:hint="eastAsia"/>
        </w:rPr>
        <w:t>　施工与验收要求</w:t>
      </w:r>
      <w:r>
        <w:tab/>
      </w:r>
      <w:r>
        <w:fldChar w:fldCharType="begin" w:fldLock="1"/>
      </w:r>
      <w:r>
        <w:instrText xml:space="preserve"> PAGEREF _Toc129093087 \h </w:instrText>
      </w:r>
      <w:r>
        <w:fldChar w:fldCharType="separate"/>
      </w:r>
      <w:r>
        <w:t>7</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"_Toc129093088" </w:instrText>
      </w:r>
      <w:r>
        <w:fldChar w:fldCharType="separate"/>
      </w:r>
      <w:r>
        <w:rPr>
          <w:rStyle w:val="34"/>
        </w:rPr>
        <w:t>6</w:t>
      </w:r>
      <w:r>
        <w:rPr>
          <w:rStyle w:val="34"/>
          <w:rFonts w:hint="eastAsia"/>
        </w:rPr>
        <w:t>　管理要求</w:t>
      </w:r>
      <w:r>
        <w:tab/>
      </w:r>
      <w:r>
        <w:fldChar w:fldCharType="begin" w:fldLock="1"/>
      </w:r>
      <w:r>
        <w:instrText xml:space="preserve"> PAGEREF _Toc129093088 \h </w:instrText>
      </w:r>
      <w:r>
        <w:fldChar w:fldCharType="separate"/>
      </w:r>
      <w:r>
        <w:t>8</w:t>
      </w:r>
      <w:r>
        <w:fldChar w:fldCharType="end"/>
      </w:r>
      <w:r>
        <w:fldChar w:fldCharType="end"/>
      </w:r>
    </w:p>
    <w:p>
      <w:pPr>
        <w:pStyle w:val="10"/>
        <w:ind w:firstLine="210"/>
        <w:rPr>
          <w:rFonts w:asciiTheme="minorHAnsi" w:hAnsiTheme="minorHAnsi" w:eastAsiaTheme="minorEastAsia" w:cstheme="minorBidi"/>
          <w:szCs w:val="22"/>
        </w:rPr>
      </w:pPr>
      <w:r>
        <w:fldChar w:fldCharType="begin"/>
      </w:r>
      <w:r>
        <w:instrText xml:space="preserve"> HYPERLINK \l "_Toc129093089" </w:instrText>
      </w:r>
      <w:r>
        <w:fldChar w:fldCharType="separate"/>
      </w:r>
      <w:r>
        <w:rPr>
          <w:rStyle w:val="34"/>
        </w:rPr>
        <w:t>6.1</w:t>
      </w:r>
      <w:r>
        <w:rPr>
          <w:rStyle w:val="34"/>
          <w:rFonts w:hint="eastAsia"/>
        </w:rPr>
        <w:t>　基本要求</w:t>
      </w:r>
      <w:r>
        <w:tab/>
      </w:r>
      <w:r>
        <w:fldChar w:fldCharType="begin" w:fldLock="1"/>
      </w:r>
      <w:r>
        <w:instrText xml:space="preserve"> PAGEREF _Toc129093089 \h </w:instrText>
      </w:r>
      <w:r>
        <w:fldChar w:fldCharType="separate"/>
      </w:r>
      <w:r>
        <w:t>8</w:t>
      </w:r>
      <w:r>
        <w:fldChar w:fldCharType="end"/>
      </w:r>
      <w:r>
        <w:fldChar w:fldCharType="end"/>
      </w:r>
    </w:p>
    <w:p>
      <w:pPr>
        <w:pStyle w:val="10"/>
        <w:ind w:firstLine="210"/>
        <w:rPr>
          <w:rFonts w:asciiTheme="minorHAnsi" w:hAnsiTheme="minorHAnsi" w:eastAsiaTheme="minorEastAsia" w:cstheme="minorBidi"/>
          <w:szCs w:val="22"/>
        </w:rPr>
      </w:pPr>
      <w:r>
        <w:fldChar w:fldCharType="begin"/>
      </w:r>
      <w:r>
        <w:instrText xml:space="preserve"> HYPERLINK \l "_Toc129093090" </w:instrText>
      </w:r>
      <w:r>
        <w:fldChar w:fldCharType="separate"/>
      </w:r>
      <w:r>
        <w:rPr>
          <w:rStyle w:val="34"/>
        </w:rPr>
        <w:t>6.2</w:t>
      </w:r>
      <w:r>
        <w:rPr>
          <w:rStyle w:val="34"/>
          <w:rFonts w:hint="eastAsia"/>
        </w:rPr>
        <w:t>　服务管理</w:t>
      </w:r>
      <w:r>
        <w:tab/>
      </w:r>
      <w:r>
        <w:fldChar w:fldCharType="begin" w:fldLock="1"/>
      </w:r>
      <w:r>
        <w:instrText xml:space="preserve"> PAGEREF _Toc129093090 \h </w:instrText>
      </w:r>
      <w:r>
        <w:fldChar w:fldCharType="separate"/>
      </w:r>
      <w:r>
        <w:t>9</w:t>
      </w:r>
      <w:r>
        <w:fldChar w:fldCharType="end"/>
      </w:r>
      <w:r>
        <w:fldChar w:fldCharType="end"/>
      </w:r>
    </w:p>
    <w:p>
      <w:pPr>
        <w:pStyle w:val="10"/>
        <w:ind w:firstLine="210"/>
        <w:rPr>
          <w:rFonts w:asciiTheme="minorHAnsi" w:hAnsiTheme="minorHAnsi" w:eastAsiaTheme="minorEastAsia" w:cstheme="minorBidi"/>
          <w:szCs w:val="22"/>
        </w:rPr>
      </w:pPr>
      <w:r>
        <w:fldChar w:fldCharType="begin"/>
      </w:r>
      <w:r>
        <w:instrText xml:space="preserve"> HYPERLINK \l "_Toc129093091" </w:instrText>
      </w:r>
      <w:r>
        <w:fldChar w:fldCharType="separate"/>
      </w:r>
      <w:r>
        <w:rPr>
          <w:rStyle w:val="34"/>
        </w:rPr>
        <w:t>6.3</w:t>
      </w:r>
      <w:r>
        <w:rPr>
          <w:rStyle w:val="34"/>
          <w:rFonts w:hint="eastAsia"/>
        </w:rPr>
        <w:t>　人员管理</w:t>
      </w:r>
      <w:r>
        <w:tab/>
      </w:r>
      <w:r>
        <w:fldChar w:fldCharType="begin" w:fldLock="1"/>
      </w:r>
      <w:r>
        <w:instrText xml:space="preserve"> PAGEREF _Toc129093091 \h </w:instrText>
      </w:r>
      <w:r>
        <w:fldChar w:fldCharType="separate"/>
      </w:r>
      <w:r>
        <w:t>11</w:t>
      </w:r>
      <w:r>
        <w:fldChar w:fldCharType="end"/>
      </w:r>
      <w:r>
        <w:fldChar w:fldCharType="end"/>
      </w:r>
    </w:p>
    <w:p>
      <w:pPr>
        <w:pStyle w:val="10"/>
        <w:ind w:firstLine="210"/>
        <w:rPr>
          <w:rFonts w:asciiTheme="minorHAnsi" w:hAnsiTheme="minorHAnsi" w:eastAsiaTheme="minorEastAsia" w:cstheme="minorBidi"/>
          <w:szCs w:val="22"/>
        </w:rPr>
      </w:pPr>
      <w:r>
        <w:fldChar w:fldCharType="begin"/>
      </w:r>
      <w:r>
        <w:instrText xml:space="preserve"> HYPERLINK \l "_Toc129093092" </w:instrText>
      </w:r>
      <w:r>
        <w:fldChar w:fldCharType="separate"/>
      </w:r>
      <w:r>
        <w:rPr>
          <w:rStyle w:val="34"/>
        </w:rPr>
        <w:t>6.4</w:t>
      </w:r>
      <w:r>
        <w:rPr>
          <w:rStyle w:val="34"/>
          <w:rFonts w:hint="eastAsia"/>
        </w:rPr>
        <w:t>　设施设备管理</w:t>
      </w:r>
      <w:r>
        <w:tab/>
      </w:r>
      <w:r>
        <w:fldChar w:fldCharType="begin" w:fldLock="1"/>
      </w:r>
      <w:r>
        <w:instrText xml:space="preserve"> PAGEREF _Toc129093092 \h </w:instrText>
      </w:r>
      <w:r>
        <w:fldChar w:fldCharType="separate"/>
      </w:r>
      <w:r>
        <w:t>11</w:t>
      </w:r>
      <w:r>
        <w:fldChar w:fldCharType="end"/>
      </w:r>
      <w:r>
        <w:fldChar w:fldCharType="end"/>
      </w:r>
    </w:p>
    <w:p>
      <w:pPr>
        <w:pStyle w:val="10"/>
        <w:ind w:firstLine="210"/>
        <w:rPr>
          <w:rFonts w:asciiTheme="minorHAnsi" w:hAnsiTheme="minorHAnsi" w:eastAsiaTheme="minorEastAsia" w:cstheme="minorBidi"/>
          <w:szCs w:val="22"/>
        </w:rPr>
      </w:pPr>
      <w:r>
        <w:fldChar w:fldCharType="begin"/>
      </w:r>
      <w:r>
        <w:instrText xml:space="preserve"> HYPERLINK \l "_Toc129093093" </w:instrText>
      </w:r>
      <w:r>
        <w:fldChar w:fldCharType="separate"/>
      </w:r>
      <w:r>
        <w:rPr>
          <w:rStyle w:val="34"/>
        </w:rPr>
        <w:t>6.5</w:t>
      </w:r>
      <w:r>
        <w:rPr>
          <w:rStyle w:val="34"/>
          <w:rFonts w:hint="eastAsia"/>
        </w:rPr>
        <w:t>　保洁用品管理</w:t>
      </w:r>
      <w:r>
        <w:tab/>
      </w:r>
      <w:r>
        <w:fldChar w:fldCharType="begin" w:fldLock="1"/>
      </w:r>
      <w:r>
        <w:instrText xml:space="preserve"> PAGEREF _Toc129093093 \h </w:instrText>
      </w:r>
      <w:r>
        <w:fldChar w:fldCharType="separate"/>
      </w:r>
      <w:r>
        <w:t>12</w:t>
      </w:r>
      <w:r>
        <w:fldChar w:fldCharType="end"/>
      </w:r>
      <w:r>
        <w:fldChar w:fldCharType="end"/>
      </w:r>
    </w:p>
    <w:p>
      <w:pPr>
        <w:pStyle w:val="10"/>
        <w:ind w:firstLine="210"/>
        <w:rPr>
          <w:rFonts w:asciiTheme="minorHAnsi" w:hAnsiTheme="minorHAnsi" w:eastAsiaTheme="minorEastAsia" w:cstheme="minorBidi"/>
          <w:szCs w:val="22"/>
        </w:rPr>
      </w:pPr>
      <w:r>
        <w:fldChar w:fldCharType="begin"/>
      </w:r>
      <w:r>
        <w:instrText xml:space="preserve"> HYPERLINK \l "_Toc129093094" </w:instrText>
      </w:r>
      <w:r>
        <w:fldChar w:fldCharType="separate"/>
      </w:r>
      <w:r>
        <w:rPr>
          <w:rStyle w:val="34"/>
        </w:rPr>
        <w:t>6.6</w:t>
      </w:r>
      <w:r>
        <w:rPr>
          <w:rStyle w:val="34"/>
          <w:rFonts w:hint="eastAsia"/>
        </w:rPr>
        <w:t>　安全管理</w:t>
      </w:r>
      <w:r>
        <w:tab/>
      </w:r>
      <w:r>
        <w:fldChar w:fldCharType="begin" w:fldLock="1"/>
      </w:r>
      <w:r>
        <w:instrText xml:space="preserve"> PAGEREF _Toc129093094 \h </w:instrText>
      </w:r>
      <w:r>
        <w:fldChar w:fldCharType="separate"/>
      </w:r>
      <w:r>
        <w:t>12</w:t>
      </w:r>
      <w:r>
        <w:fldChar w:fldCharType="end"/>
      </w:r>
      <w:r>
        <w:fldChar w:fldCharType="end"/>
      </w:r>
    </w:p>
    <w:p>
      <w:pPr>
        <w:pStyle w:val="10"/>
        <w:ind w:firstLine="210"/>
        <w:rPr>
          <w:rFonts w:asciiTheme="minorHAnsi" w:hAnsiTheme="minorHAnsi" w:eastAsiaTheme="minorEastAsia" w:cstheme="minorBidi"/>
          <w:szCs w:val="22"/>
        </w:rPr>
      </w:pPr>
      <w:r>
        <w:fldChar w:fldCharType="begin"/>
      </w:r>
      <w:r>
        <w:instrText xml:space="preserve"> HYPERLINK \l "_Toc129093095" </w:instrText>
      </w:r>
      <w:r>
        <w:fldChar w:fldCharType="separate"/>
      </w:r>
      <w:r>
        <w:rPr>
          <w:rStyle w:val="34"/>
        </w:rPr>
        <w:t>6.7</w:t>
      </w:r>
      <w:r>
        <w:rPr>
          <w:rStyle w:val="34"/>
          <w:rFonts w:hint="eastAsia"/>
        </w:rPr>
        <w:t>　文件管理</w:t>
      </w:r>
      <w:r>
        <w:tab/>
      </w:r>
      <w:r>
        <w:fldChar w:fldCharType="begin" w:fldLock="1"/>
      </w:r>
      <w:r>
        <w:instrText xml:space="preserve"> PAGEREF _Toc129093095 \h </w:instrText>
      </w:r>
      <w:r>
        <w:fldChar w:fldCharType="separate"/>
      </w:r>
      <w:r>
        <w:t>13</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"_Toc129093096" </w:instrText>
      </w:r>
      <w:r>
        <w:fldChar w:fldCharType="separate"/>
      </w:r>
      <w:r>
        <w:rPr>
          <w:rStyle w:val="34"/>
        </w:rPr>
        <w:t>7</w:t>
      </w:r>
      <w:r>
        <w:rPr>
          <w:rStyle w:val="34"/>
          <w:rFonts w:hint="eastAsia"/>
        </w:rPr>
        <w:t>　评价与改进要求</w:t>
      </w:r>
      <w:r>
        <w:tab/>
      </w:r>
      <w:r>
        <w:fldChar w:fldCharType="begin" w:fldLock="1"/>
      </w:r>
      <w:r>
        <w:instrText xml:space="preserve"> PAGEREF _Toc129093096 \h </w:instrText>
      </w:r>
      <w:r>
        <w:fldChar w:fldCharType="separate"/>
      </w:r>
      <w:r>
        <w:t>13</w:t>
      </w:r>
      <w:r>
        <w:fldChar w:fldCharType="end"/>
      </w:r>
      <w:r>
        <w:fldChar w:fldCharType="end"/>
      </w:r>
    </w:p>
    <w:p>
      <w:pPr>
        <w:pStyle w:val="10"/>
        <w:ind w:firstLine="210"/>
        <w:rPr>
          <w:rFonts w:asciiTheme="minorHAnsi" w:hAnsiTheme="minorHAnsi" w:eastAsiaTheme="minorEastAsia" w:cstheme="minorBidi"/>
          <w:szCs w:val="22"/>
        </w:rPr>
      </w:pPr>
      <w:r>
        <w:fldChar w:fldCharType="begin"/>
      </w:r>
      <w:r>
        <w:instrText xml:space="preserve"> HYPERLINK \l "_Toc129093097" </w:instrText>
      </w:r>
      <w:r>
        <w:fldChar w:fldCharType="separate"/>
      </w:r>
      <w:r>
        <w:rPr>
          <w:rStyle w:val="34"/>
        </w:rPr>
        <w:t>7.1</w:t>
      </w:r>
      <w:r>
        <w:rPr>
          <w:rStyle w:val="34"/>
          <w:rFonts w:hint="eastAsia"/>
        </w:rPr>
        <w:t>　监督与检查</w:t>
      </w:r>
      <w:r>
        <w:tab/>
      </w:r>
      <w:r>
        <w:fldChar w:fldCharType="begin" w:fldLock="1"/>
      </w:r>
      <w:r>
        <w:instrText xml:space="preserve"> PAGEREF _Toc129093097 \h </w:instrText>
      </w:r>
      <w:r>
        <w:fldChar w:fldCharType="separate"/>
      </w:r>
      <w:r>
        <w:t>13</w:t>
      </w:r>
      <w:r>
        <w:fldChar w:fldCharType="end"/>
      </w:r>
      <w:r>
        <w:fldChar w:fldCharType="end"/>
      </w:r>
    </w:p>
    <w:p>
      <w:pPr>
        <w:pStyle w:val="10"/>
        <w:ind w:firstLine="210"/>
        <w:rPr>
          <w:rFonts w:asciiTheme="minorHAnsi" w:hAnsiTheme="minorHAnsi" w:eastAsiaTheme="minorEastAsia" w:cstheme="minorBidi"/>
          <w:szCs w:val="22"/>
        </w:rPr>
      </w:pPr>
      <w:r>
        <w:fldChar w:fldCharType="begin"/>
      </w:r>
      <w:r>
        <w:instrText xml:space="preserve"> HYPERLINK \l "_Toc129093098" </w:instrText>
      </w:r>
      <w:r>
        <w:fldChar w:fldCharType="separate"/>
      </w:r>
      <w:r>
        <w:rPr>
          <w:rStyle w:val="34"/>
        </w:rPr>
        <w:t>7.2</w:t>
      </w:r>
      <w:r>
        <w:rPr>
          <w:rStyle w:val="34"/>
          <w:rFonts w:hint="eastAsia"/>
        </w:rPr>
        <w:t>　服务改进</w:t>
      </w:r>
      <w:r>
        <w:tab/>
      </w:r>
      <w:r>
        <w:fldChar w:fldCharType="begin" w:fldLock="1"/>
      </w:r>
      <w:r>
        <w:instrText xml:space="preserve"> PAGEREF _Toc129093098 \h </w:instrText>
      </w:r>
      <w:r>
        <w:fldChar w:fldCharType="separate"/>
      </w:r>
      <w:r>
        <w:t>13</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"_Toc129093099" </w:instrText>
      </w:r>
      <w:r>
        <w:fldChar w:fldCharType="separate"/>
      </w:r>
      <w:r>
        <w:rPr>
          <w:rStyle w:val="34"/>
          <w:rFonts w:hint="eastAsia"/>
        </w:rPr>
        <w:t>附录A　（规范性）</w:t>
      </w:r>
      <w:r>
        <w:rPr>
          <w:rStyle w:val="34"/>
        </w:rPr>
        <w:t>　</w:t>
      </w:r>
      <w:r>
        <w:rPr>
          <w:rStyle w:val="34"/>
          <w:rFonts w:hint="eastAsia"/>
        </w:rPr>
        <w:t>智能化系统基本要求</w:t>
      </w:r>
      <w:r>
        <w:tab/>
      </w:r>
      <w:r>
        <w:fldChar w:fldCharType="begin" w:fldLock="1"/>
      </w:r>
      <w:r>
        <w:instrText xml:space="preserve"> PAGEREF _Toc129093099 \h </w:instrText>
      </w:r>
      <w:r>
        <w:fldChar w:fldCharType="separate"/>
      </w:r>
      <w:r>
        <w:t>14</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"_Toc129093100" </w:instrText>
      </w:r>
      <w:r>
        <w:fldChar w:fldCharType="separate"/>
      </w:r>
      <w:r>
        <w:rPr>
          <w:rStyle w:val="34"/>
          <w:rFonts w:hint="eastAsia"/>
        </w:rPr>
        <w:t>附录B　（规范性）</w:t>
      </w:r>
      <w:r>
        <w:rPr>
          <w:rStyle w:val="34"/>
        </w:rPr>
        <w:t>　</w:t>
      </w:r>
      <w:r>
        <w:rPr>
          <w:rStyle w:val="34"/>
          <w:rFonts w:hint="eastAsia"/>
        </w:rPr>
        <w:t>驿站标志标牌</w:t>
      </w:r>
      <w:r>
        <w:tab/>
      </w:r>
      <w:r>
        <w:fldChar w:fldCharType="begin" w:fldLock="1"/>
      </w:r>
      <w:r>
        <w:instrText xml:space="preserve"> PAGEREF _Toc129093100 \h </w:instrText>
      </w:r>
      <w:r>
        <w:fldChar w:fldCharType="separate"/>
      </w:r>
      <w:r>
        <w:t>17</w:t>
      </w:r>
      <w:r>
        <w:fldChar w:fldCharType="end"/>
      </w:r>
      <w:r>
        <w:fldChar w:fldCharType="end"/>
      </w:r>
    </w:p>
    <w:p>
      <w:pPr>
        <w:pStyle w:val="21"/>
      </w:pPr>
      <w:r>
        <w:fldChar w:fldCharType="end"/>
      </w:r>
    </w:p>
    <w:p>
      <w:pPr>
        <w:pStyle w:val="107"/>
      </w:pPr>
      <w:bookmarkStart w:id="28" w:name="_Toc129093079"/>
      <w:r>
        <w:rPr>
          <w:rFonts w:hint="eastAsia"/>
        </w:rPr>
        <w:t>前</w:t>
      </w:r>
      <w:bookmarkStart w:id="29" w:name="BKQY"/>
      <w:r>
        <w:rPr>
          <w:rFonts w:hAnsi="黑体"/>
        </w:rPr>
        <w:t>  </w:t>
      </w:r>
      <w:r>
        <w:rPr>
          <w:rFonts w:hint="eastAsia"/>
        </w:rPr>
        <w:t>言</w:t>
      </w:r>
      <w:bookmarkEnd w:id="20"/>
      <w:bookmarkEnd w:id="21"/>
      <w:bookmarkEnd w:id="22"/>
      <w:bookmarkEnd w:id="23"/>
      <w:bookmarkEnd w:id="24"/>
      <w:bookmarkEnd w:id="25"/>
      <w:bookmarkEnd w:id="26"/>
      <w:bookmarkEnd w:id="28"/>
      <w:bookmarkEnd w:id="29"/>
    </w:p>
    <w:p>
      <w:pPr>
        <w:pStyle w:val="21"/>
      </w:pPr>
      <w:r>
        <w:rPr>
          <w:rFonts w:hint="eastAsia"/>
        </w:rPr>
        <w:t>本文件按照GB/T 1.1—2020《标准化工作导则  第1部分：标准化文件的结构和起草规则》的规定起草。</w:t>
      </w:r>
    </w:p>
    <w:p>
      <w:pPr>
        <w:pStyle w:val="21"/>
      </w:pPr>
      <w:r>
        <w:rPr>
          <w:rFonts w:hint="eastAsia"/>
        </w:rPr>
        <w:t>请注意本文件的某些内容可能涉及专利。本文件的发布机构不承担识别专利的责任。</w:t>
      </w:r>
    </w:p>
    <w:p>
      <w:pPr>
        <w:pStyle w:val="21"/>
      </w:pPr>
      <w:r>
        <w:rPr>
          <w:rFonts w:hint="eastAsia"/>
        </w:rPr>
        <w:t>本文件由株洲市城市管理和综合执法局提出。</w:t>
      </w:r>
    </w:p>
    <w:p>
      <w:pPr>
        <w:pStyle w:val="21"/>
      </w:pPr>
      <w:r>
        <w:rPr>
          <w:rFonts w:hint="eastAsia"/>
        </w:rPr>
        <w:t>本文件由XXXX归口。</w:t>
      </w:r>
    </w:p>
    <w:p>
      <w:pPr>
        <w:pStyle w:val="21"/>
      </w:pPr>
      <w:r>
        <w:rPr>
          <w:rFonts w:hint="eastAsia"/>
        </w:rPr>
        <w:t>本文件起草单位：株洲市城市管理和综合执法局、希而思（长沙）科技研究院有限公司。</w:t>
      </w:r>
    </w:p>
    <w:p>
      <w:pPr>
        <w:pStyle w:val="21"/>
      </w:pPr>
      <w:r>
        <w:rPr>
          <w:rFonts w:hint="eastAsia"/>
        </w:rPr>
        <w:t>本文件主要起草人：XXXX。</w:t>
      </w:r>
    </w:p>
    <w:p>
      <w:pPr>
        <w:pStyle w:val="21"/>
      </w:pPr>
    </w:p>
    <w:p>
      <w:pPr>
        <w:pStyle w:val="21"/>
        <w:sectPr>
          <w:headerReference r:id="rId9" w:type="first"/>
          <w:headerReference r:id="rId7" w:type="default"/>
          <w:footerReference r:id="rId10" w:type="default"/>
          <w:headerReference r:id="rId8" w:type="even"/>
          <w:pgSz w:w="11906" w:h="16838"/>
          <w:pgMar w:top="567" w:right="1134" w:bottom="1134" w:left="1417" w:header="1418" w:footer="1134" w:gutter="0"/>
          <w:pgNumType w:fmt="upperRoman" w:start="1"/>
          <w:cols w:space="425" w:num="1"/>
          <w:formProt w:val="0"/>
          <w:docGrid w:type="lines" w:linePitch="312" w:charSpace="0"/>
        </w:sectPr>
      </w:pPr>
    </w:p>
    <w:p>
      <w:pPr>
        <w:pStyle w:val="45"/>
      </w:pPr>
      <w:r>
        <w:rPr>
          <w:rFonts w:hint="eastAsia"/>
        </w:rPr>
        <w:t>建宁驿站建设与管理规范</w:t>
      </w:r>
    </w:p>
    <w:p>
      <w:pPr>
        <w:pStyle w:val="40"/>
      </w:pPr>
      <w:bookmarkStart w:id="30" w:name="_Toc115169970"/>
      <w:bookmarkStart w:id="31" w:name="_Toc113522137"/>
      <w:bookmarkStart w:id="32" w:name="_Toc116553074"/>
      <w:bookmarkStart w:id="33" w:name="_Toc115170037"/>
      <w:bookmarkStart w:id="34" w:name="_Toc115257554"/>
      <w:bookmarkStart w:id="35" w:name="_Toc129092896"/>
      <w:bookmarkStart w:id="36" w:name="_Toc115276277"/>
      <w:bookmarkStart w:id="37" w:name="_Toc129093080"/>
      <w:bookmarkStart w:id="38" w:name="_Toc117168592"/>
      <w:r>
        <w:rPr>
          <w:rFonts w:hint="eastAsia"/>
        </w:rPr>
        <w:t>范围</w:t>
      </w:r>
      <w:bookmarkEnd w:id="30"/>
      <w:bookmarkEnd w:id="31"/>
      <w:bookmarkEnd w:id="32"/>
      <w:bookmarkEnd w:id="33"/>
      <w:bookmarkEnd w:id="34"/>
      <w:bookmarkEnd w:id="35"/>
      <w:bookmarkEnd w:id="36"/>
      <w:bookmarkEnd w:id="37"/>
      <w:bookmarkEnd w:id="38"/>
    </w:p>
    <w:p>
      <w:pPr>
        <w:pStyle w:val="21"/>
      </w:pPr>
      <w:r>
        <w:rPr>
          <w:rFonts w:hint="eastAsia"/>
        </w:rPr>
        <w:t>本文件规定了建宁驿站（以下简称“驿站”）的建设要求、管理要求以及评价与改进要求。</w:t>
      </w:r>
    </w:p>
    <w:p>
      <w:pPr>
        <w:pStyle w:val="21"/>
      </w:pPr>
      <w:r>
        <w:rPr>
          <w:rFonts w:hint="eastAsia"/>
        </w:rPr>
        <w:t>本文件适用于株洲市城区范围内新建、改建及扩建的固定式公共厕所，其他公共厕所可参照使用。</w:t>
      </w:r>
    </w:p>
    <w:p>
      <w:pPr>
        <w:pStyle w:val="40"/>
      </w:pPr>
      <w:bookmarkStart w:id="39" w:name="_Toc115257555"/>
      <w:bookmarkStart w:id="40" w:name="_Toc117168593"/>
      <w:bookmarkStart w:id="41" w:name="_Toc116553075"/>
      <w:bookmarkStart w:id="42" w:name="_Toc113522138"/>
      <w:bookmarkStart w:id="43" w:name="_Toc129092897"/>
      <w:bookmarkStart w:id="44" w:name="_Toc129093081"/>
      <w:bookmarkStart w:id="45" w:name="_Toc115276278"/>
      <w:bookmarkStart w:id="46" w:name="_Toc115169971"/>
      <w:bookmarkStart w:id="47" w:name="_Toc115170038"/>
      <w:r>
        <w:rPr>
          <w:rFonts w:hint="eastAsia"/>
        </w:rPr>
        <w:t>规范性引用文件</w:t>
      </w:r>
      <w:bookmarkEnd w:id="39"/>
      <w:bookmarkEnd w:id="40"/>
      <w:bookmarkEnd w:id="41"/>
      <w:bookmarkEnd w:id="42"/>
      <w:bookmarkEnd w:id="43"/>
      <w:bookmarkEnd w:id="44"/>
      <w:bookmarkEnd w:id="45"/>
      <w:bookmarkEnd w:id="46"/>
      <w:bookmarkEnd w:id="47"/>
    </w:p>
    <w:p>
      <w:pPr>
        <w:pStyle w:val="21"/>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pPr>
        <w:pStyle w:val="21"/>
      </w:pPr>
      <w:r>
        <w:rPr>
          <w:rFonts w:hint="eastAsia"/>
        </w:rPr>
        <w:t>GB 5749  生活饮用水卫生标准</w:t>
      </w:r>
    </w:p>
    <w:p>
      <w:pPr>
        <w:pStyle w:val="21"/>
      </w:pPr>
      <w:r>
        <w:rPr>
          <w:rFonts w:hint="eastAsia"/>
          <w:szCs w:val="21"/>
        </w:rPr>
        <w:t>GB/T 6952</w:t>
      </w:r>
      <w:r>
        <w:rPr>
          <w:rFonts w:hint="eastAsia"/>
        </w:rPr>
        <w:t xml:space="preserve">  卫生陶瓷</w:t>
      </w:r>
    </w:p>
    <w:p>
      <w:pPr>
        <w:pStyle w:val="21"/>
      </w:pPr>
      <w:r>
        <w:rPr>
          <w:rFonts w:hint="eastAsia"/>
        </w:rPr>
        <w:t>GB/T 10001.1  公共信息图形符号  第1部分：通用符号</w:t>
      </w:r>
    </w:p>
    <w:p>
      <w:pPr>
        <w:pStyle w:val="21"/>
      </w:pPr>
      <w:r>
        <w:rPr>
          <w:rFonts w:hint="eastAsia"/>
        </w:rPr>
        <w:t>GB 14554  恶臭污染物排放标准</w:t>
      </w:r>
    </w:p>
    <w:p>
      <w:pPr>
        <w:pStyle w:val="21"/>
      </w:pPr>
      <w:r>
        <w:rPr>
          <w:rFonts w:hint="eastAsia"/>
        </w:rPr>
        <w:t>GB/T 17217—2021  公共厕所卫生规范</w:t>
      </w:r>
    </w:p>
    <w:p>
      <w:pPr>
        <w:pStyle w:val="21"/>
      </w:pPr>
      <w:r>
        <w:t>GB/T 18920</w:t>
      </w:r>
      <w:r>
        <w:rPr>
          <w:rFonts w:hint="eastAsia"/>
        </w:rPr>
        <w:t xml:space="preserve">  城市污水再生利用  城市杂用水水质</w:t>
      </w:r>
    </w:p>
    <w:p>
      <w:pPr>
        <w:pStyle w:val="21"/>
      </w:pPr>
      <w:r>
        <w:rPr>
          <w:rFonts w:hint="eastAsia"/>
        </w:rPr>
        <w:t>GB/T 31436  节水型卫生洁具</w:t>
      </w:r>
    </w:p>
    <w:p>
      <w:pPr>
        <w:pStyle w:val="21"/>
      </w:pPr>
      <w:r>
        <w:rPr>
          <w:rFonts w:hint="eastAsia"/>
        </w:rPr>
        <w:t>GB 50057  建筑物防雷设计规范</w:t>
      </w:r>
    </w:p>
    <w:p>
      <w:pPr>
        <w:pStyle w:val="21"/>
      </w:pPr>
      <w:r>
        <w:rPr>
          <w:rFonts w:hint="eastAsia"/>
        </w:rPr>
        <w:t>GB 50202  建筑地基基础工程施工质量验收标准</w:t>
      </w:r>
    </w:p>
    <w:p>
      <w:pPr>
        <w:pStyle w:val="21"/>
      </w:pPr>
      <w:r>
        <w:rPr>
          <w:rFonts w:hint="eastAsia"/>
        </w:rPr>
        <w:t>GB 50203  砌体结构工程施工质量验收规范</w:t>
      </w:r>
    </w:p>
    <w:p>
      <w:pPr>
        <w:pStyle w:val="21"/>
      </w:pPr>
      <w:r>
        <w:rPr>
          <w:rFonts w:hint="eastAsia"/>
        </w:rPr>
        <w:t>GB 50204  混凝土结构工程施工质量验收规范</w:t>
      </w:r>
    </w:p>
    <w:p>
      <w:pPr>
        <w:pStyle w:val="21"/>
      </w:pPr>
      <w:r>
        <w:rPr>
          <w:rFonts w:hint="eastAsia"/>
        </w:rPr>
        <w:t>GB 50205  钢结构工程施工质量验收标准</w:t>
      </w:r>
    </w:p>
    <w:p>
      <w:pPr>
        <w:pStyle w:val="21"/>
      </w:pPr>
      <w:r>
        <w:rPr>
          <w:rFonts w:hint="eastAsia"/>
        </w:rPr>
        <w:t>GB 50206  木结构工程施工质量验收规范</w:t>
      </w:r>
    </w:p>
    <w:p>
      <w:pPr>
        <w:pStyle w:val="21"/>
      </w:pPr>
      <w:r>
        <w:rPr>
          <w:rFonts w:hint="eastAsia"/>
        </w:rPr>
        <w:t>GB 50207  屋面工程质量验收规范</w:t>
      </w:r>
    </w:p>
    <w:p>
      <w:pPr>
        <w:pStyle w:val="21"/>
      </w:pPr>
      <w:r>
        <w:rPr>
          <w:rFonts w:hint="eastAsia"/>
        </w:rPr>
        <w:t>GB 50209  建筑地面工程施工质量验收规范</w:t>
      </w:r>
    </w:p>
    <w:p>
      <w:pPr>
        <w:pStyle w:val="21"/>
      </w:pPr>
      <w:r>
        <w:rPr>
          <w:rFonts w:hint="eastAsia"/>
        </w:rPr>
        <w:t>GB 50210  建筑装饰装修工程质量验收标准</w:t>
      </w:r>
    </w:p>
    <w:p>
      <w:pPr>
        <w:pStyle w:val="21"/>
        <w:rPr>
          <w:rFonts w:hAnsi="宋体"/>
        </w:rPr>
      </w:pPr>
      <w:r>
        <w:rPr>
          <w:rFonts w:hint="eastAsia"/>
        </w:rPr>
        <w:t>GB 50242</w:t>
      </w:r>
      <w:r>
        <w:rPr>
          <w:rFonts w:hint="eastAsia" w:hAnsi="宋体"/>
        </w:rPr>
        <w:t xml:space="preserve">  建筑给水排水及采暖工程施工质量验收规范</w:t>
      </w:r>
    </w:p>
    <w:p>
      <w:pPr>
        <w:pStyle w:val="21"/>
      </w:pPr>
      <w:r>
        <w:t>GB</w:t>
      </w:r>
      <w:r>
        <w:rPr>
          <w:rFonts w:hint="eastAsia"/>
        </w:rPr>
        <w:t xml:space="preserve"> </w:t>
      </w:r>
      <w:r>
        <w:t>50243</w:t>
      </w:r>
      <w:r>
        <w:rPr>
          <w:rFonts w:hint="eastAsia"/>
        </w:rPr>
        <w:t xml:space="preserve">  通风与空调工程施工质量验收规范</w:t>
      </w:r>
    </w:p>
    <w:p>
      <w:pPr>
        <w:pStyle w:val="21"/>
      </w:pPr>
      <w:r>
        <w:rPr>
          <w:rFonts w:hint="eastAsia"/>
        </w:rPr>
        <w:t>GB 50300  建筑工程施工质量验收统一标准</w:t>
      </w:r>
    </w:p>
    <w:p>
      <w:pPr>
        <w:pStyle w:val="21"/>
      </w:pPr>
      <w:r>
        <w:rPr>
          <w:rFonts w:hint="eastAsia"/>
        </w:rPr>
        <w:t>GB 50303  建筑电气工程施工质量验收规范</w:t>
      </w:r>
    </w:p>
    <w:p>
      <w:pPr>
        <w:pStyle w:val="21"/>
      </w:pPr>
      <w:r>
        <w:rPr>
          <w:rFonts w:hint="eastAsia"/>
        </w:rPr>
        <w:t>GB/T 50337—2018  城市环境卫生设施规划标准</w:t>
      </w:r>
    </w:p>
    <w:p>
      <w:pPr>
        <w:pStyle w:val="21"/>
      </w:pPr>
      <w:r>
        <w:t>GB</w:t>
      </w:r>
      <w:r>
        <w:rPr>
          <w:rFonts w:hint="eastAsia"/>
        </w:rPr>
        <w:t xml:space="preserve"> </w:t>
      </w:r>
      <w:r>
        <w:t>50339</w:t>
      </w:r>
      <w:r>
        <w:rPr>
          <w:rFonts w:hint="eastAsia"/>
        </w:rPr>
        <w:t xml:space="preserve">  智能建筑工程质量验收规范</w:t>
      </w:r>
    </w:p>
    <w:p>
      <w:pPr>
        <w:pStyle w:val="21"/>
      </w:pPr>
      <w:r>
        <w:rPr>
          <w:rFonts w:hint="eastAsia"/>
        </w:rPr>
        <w:t>GB 50345  屋面工程技术规范</w:t>
      </w:r>
    </w:p>
    <w:p>
      <w:pPr>
        <w:pStyle w:val="21"/>
      </w:pPr>
      <w:r>
        <w:rPr>
          <w:rFonts w:hint="eastAsia"/>
        </w:rPr>
        <w:t>GB 50606  智能建筑工程施工规范</w:t>
      </w:r>
    </w:p>
    <w:p>
      <w:pPr>
        <w:pStyle w:val="21"/>
      </w:pPr>
      <w:r>
        <w:rPr>
          <w:rFonts w:hint="eastAsia"/>
        </w:rPr>
        <w:t>GB 50642  无障碍设施施工验收及维护规范</w:t>
      </w:r>
    </w:p>
    <w:p>
      <w:pPr>
        <w:pStyle w:val="21"/>
      </w:pPr>
      <w:r>
        <w:rPr>
          <w:rFonts w:hint="eastAsia"/>
        </w:rPr>
        <w:t>GB 50666  混凝土结构工程施工规范</w:t>
      </w:r>
    </w:p>
    <w:p>
      <w:pPr>
        <w:pStyle w:val="21"/>
      </w:pPr>
      <w:r>
        <w:t>GB</w:t>
      </w:r>
      <w:r>
        <w:rPr>
          <w:rFonts w:hint="eastAsia"/>
        </w:rPr>
        <w:t xml:space="preserve"> </w:t>
      </w:r>
      <w:r>
        <w:t>50738</w:t>
      </w:r>
      <w:r>
        <w:rPr>
          <w:rFonts w:hint="eastAsia"/>
        </w:rPr>
        <w:t xml:space="preserve">  通风与空调工程施工规范</w:t>
      </w:r>
    </w:p>
    <w:p>
      <w:pPr>
        <w:pStyle w:val="21"/>
      </w:pPr>
      <w:r>
        <w:rPr>
          <w:rFonts w:hint="eastAsia"/>
        </w:rPr>
        <w:t>GB 50755  钢结构工程施工规范</w:t>
      </w:r>
    </w:p>
    <w:p>
      <w:pPr>
        <w:pStyle w:val="21"/>
      </w:pPr>
      <w:r>
        <w:rPr>
          <w:rFonts w:hint="eastAsia" w:hAnsi="宋体"/>
        </w:rPr>
        <w:t xml:space="preserve">GB 50763—2012  </w:t>
      </w:r>
      <w:r>
        <w:rPr>
          <w:rFonts w:hint="eastAsia"/>
        </w:rPr>
        <w:t>无障碍设计规范</w:t>
      </w:r>
    </w:p>
    <w:p>
      <w:pPr>
        <w:pStyle w:val="21"/>
      </w:pPr>
      <w:r>
        <w:rPr>
          <w:rFonts w:hint="eastAsia"/>
        </w:rPr>
        <w:t>GB/T 50772  木结构工程施工规范</w:t>
      </w:r>
    </w:p>
    <w:p>
      <w:pPr>
        <w:pStyle w:val="21"/>
      </w:pPr>
      <w:r>
        <w:rPr>
          <w:rFonts w:hint="eastAsia"/>
        </w:rPr>
        <w:t>GB 50924  砌体结构工程施工规范</w:t>
      </w:r>
    </w:p>
    <w:p>
      <w:pPr>
        <w:pStyle w:val="21"/>
      </w:pPr>
      <w:r>
        <w:t>GB</w:t>
      </w:r>
      <w:r>
        <w:rPr>
          <w:rFonts w:hint="eastAsia"/>
        </w:rPr>
        <w:t xml:space="preserve"> </w:t>
      </w:r>
      <w:r>
        <w:t>51004</w:t>
      </w:r>
      <w:r>
        <w:rPr>
          <w:rFonts w:hint="eastAsia"/>
        </w:rPr>
        <w:t xml:space="preserve">  建筑地基基础工程施工规范</w:t>
      </w:r>
    </w:p>
    <w:p>
      <w:pPr>
        <w:pStyle w:val="21"/>
      </w:pPr>
      <w:r>
        <w:rPr>
          <w:rFonts w:hint="eastAsia"/>
        </w:rPr>
        <w:t>CJJ 14—2016  城市公共厕所设计标准</w:t>
      </w:r>
    </w:p>
    <w:p>
      <w:pPr>
        <w:pStyle w:val="21"/>
      </w:pPr>
      <w:r>
        <w:rPr>
          <w:rFonts w:hint="eastAsia"/>
        </w:rPr>
        <w:t>CJJ 27—2012  环境卫生设施设置标准</w:t>
      </w:r>
    </w:p>
    <w:p>
      <w:pPr>
        <w:pStyle w:val="40"/>
      </w:pPr>
      <w:bookmarkStart w:id="48" w:name="_Toc113522139"/>
      <w:bookmarkEnd w:id="48"/>
      <w:bookmarkStart w:id="49" w:name="_Toc129092898"/>
      <w:bookmarkStart w:id="50" w:name="_Toc129093082"/>
      <w:bookmarkStart w:id="51" w:name="_Toc115276279"/>
      <w:bookmarkStart w:id="52" w:name="_Toc115169972"/>
      <w:bookmarkStart w:id="53" w:name="_Toc116553076"/>
      <w:bookmarkStart w:id="54" w:name="_Toc117168594"/>
      <w:bookmarkStart w:id="55" w:name="_Toc115257556"/>
      <w:bookmarkStart w:id="56" w:name="_Toc115170039"/>
      <w:r>
        <w:rPr>
          <w:rFonts w:hint="eastAsia"/>
        </w:rPr>
        <w:t>术语和定义</w:t>
      </w:r>
      <w:bookmarkEnd w:id="49"/>
      <w:bookmarkEnd w:id="50"/>
      <w:bookmarkEnd w:id="51"/>
      <w:bookmarkEnd w:id="52"/>
      <w:bookmarkEnd w:id="53"/>
      <w:bookmarkEnd w:id="54"/>
      <w:bookmarkEnd w:id="55"/>
      <w:bookmarkEnd w:id="56"/>
    </w:p>
    <w:p>
      <w:pPr>
        <w:pStyle w:val="21"/>
      </w:pPr>
      <w:r>
        <w:rPr>
          <w:rFonts w:hint="eastAsia"/>
        </w:rPr>
        <w:t>GB/T 17217—2021、</w:t>
      </w:r>
      <w:r>
        <w:rPr>
          <w:rFonts w:hint="eastAsia" w:hAnsi="宋体"/>
        </w:rPr>
        <w:t>GB 50763—2012</w:t>
      </w:r>
      <w:r>
        <w:rPr>
          <w:rFonts w:hint="eastAsia"/>
        </w:rPr>
        <w:t>和CJJ 14—2016界定的以及下列术语和定义适用于本文件。</w:t>
      </w:r>
    </w:p>
    <w:p>
      <w:pPr>
        <w:pStyle w:val="120"/>
        <w:numPr>
          <w:ilvl w:val="0"/>
          <w:numId w:val="0"/>
        </w:numPr>
        <w:rPr>
          <w:rFonts w:ascii="黑体" w:hAnsi="黑体" w:eastAsia="黑体"/>
        </w:rPr>
      </w:pPr>
      <w:r>
        <w:rPr>
          <w:rFonts w:hint="eastAsia" w:ascii="黑体" w:hAnsi="黑体" w:eastAsia="黑体"/>
        </w:rPr>
        <w:t>3.1</w:t>
      </w:r>
    </w:p>
    <w:p>
      <w:pPr>
        <w:pStyle w:val="120"/>
        <w:numPr>
          <w:ilvl w:val="0"/>
          <w:numId w:val="0"/>
        </w:numPr>
        <w:ind w:firstLine="420" w:firstLineChars="200"/>
        <w:rPr>
          <w:rFonts w:ascii="黑体" w:hAnsi="黑体" w:eastAsia="黑体"/>
        </w:rPr>
      </w:pPr>
      <w:r>
        <w:rPr>
          <w:rFonts w:hint="eastAsia" w:ascii="黑体" w:hAnsi="黑体" w:eastAsia="黑体"/>
        </w:rPr>
        <w:t xml:space="preserve">建宁驿站  </w:t>
      </w:r>
      <w:r>
        <w:rPr>
          <w:rFonts w:ascii="黑体" w:hAnsi="黑体" w:eastAsia="黑体"/>
        </w:rPr>
        <w:t>JianNing</w:t>
      </w:r>
      <w:r>
        <w:rPr>
          <w:rFonts w:hint="eastAsia" w:ascii="黑体" w:hAnsi="黑体" w:eastAsia="黑体"/>
        </w:rPr>
        <w:t xml:space="preserve"> </w:t>
      </w:r>
      <w:r>
        <w:rPr>
          <w:rFonts w:ascii="黑体" w:hAnsi="黑体" w:eastAsia="黑体"/>
        </w:rPr>
        <w:t>post station</w:t>
      </w:r>
    </w:p>
    <w:p>
      <w:pPr>
        <w:pStyle w:val="21"/>
      </w:pPr>
      <w:r>
        <w:rPr>
          <w:rFonts w:hint="eastAsia"/>
        </w:rPr>
        <w:t>坐落在株洲市城区范围内，在提供如厕功能的基础上，将休息、便民商业、政务服务以及文化展示等多种便民服务功能集合为一体的公共厕所。</w:t>
      </w:r>
    </w:p>
    <w:p>
      <w:pPr>
        <w:pStyle w:val="59"/>
      </w:pPr>
      <w:r>
        <w:rPr>
          <w:rFonts w:hint="eastAsia" w:ascii="黑体" w:hAnsi="黑体" w:eastAsia="黑体"/>
        </w:rPr>
        <w:t>注：</w:t>
      </w:r>
      <w:r>
        <w:rPr>
          <w:rFonts w:hint="eastAsia"/>
        </w:rPr>
        <w:t>株洲在古时称为“建宁”。</w:t>
      </w:r>
    </w:p>
    <w:p>
      <w:pPr>
        <w:pStyle w:val="120"/>
        <w:numPr>
          <w:ilvl w:val="0"/>
          <w:numId w:val="0"/>
        </w:numPr>
        <w:rPr>
          <w:rFonts w:ascii="黑体" w:hAnsi="黑体" w:eastAsia="黑体"/>
        </w:rPr>
      </w:pPr>
      <w:r>
        <w:rPr>
          <w:rFonts w:ascii="黑体" w:hAnsi="黑体" w:eastAsia="黑体"/>
        </w:rPr>
        <w:t>3.</w:t>
      </w:r>
      <w:r>
        <w:rPr>
          <w:rFonts w:hint="eastAsia" w:ascii="黑体" w:hAnsi="黑体" w:eastAsia="黑体"/>
        </w:rPr>
        <w:t>2</w:t>
      </w:r>
    </w:p>
    <w:p>
      <w:pPr>
        <w:pStyle w:val="120"/>
        <w:numPr>
          <w:ilvl w:val="0"/>
          <w:numId w:val="0"/>
        </w:numPr>
        <w:ind w:firstLine="420" w:firstLineChars="200"/>
        <w:rPr>
          <w:rFonts w:ascii="黑体" w:hAnsi="黑体" w:eastAsia="黑体"/>
        </w:rPr>
      </w:pPr>
      <w:r>
        <w:rPr>
          <w:rFonts w:hint="eastAsia" w:ascii="黑体" w:hAnsi="黑体" w:eastAsia="黑体"/>
        </w:rPr>
        <w:t xml:space="preserve">公共厕所  </w:t>
      </w:r>
      <w:r>
        <w:rPr>
          <w:rFonts w:ascii="黑体" w:hAnsi="黑体" w:eastAsia="黑体"/>
        </w:rPr>
        <w:t>public</w:t>
      </w:r>
      <w:r>
        <w:rPr>
          <w:rFonts w:hint="eastAsia" w:ascii="黑体" w:hAnsi="黑体" w:eastAsia="黑体"/>
        </w:rPr>
        <w:t xml:space="preserve"> toilet</w:t>
      </w:r>
    </w:p>
    <w:p>
      <w:pPr>
        <w:pStyle w:val="21"/>
      </w:pPr>
      <w:r>
        <w:rPr>
          <w:rFonts w:hint="eastAsia"/>
        </w:rPr>
        <w:t>在公众活动场所设置供社会公众使用的固定式厕所。</w:t>
      </w:r>
    </w:p>
    <w:p>
      <w:pPr>
        <w:pStyle w:val="21"/>
        <w:rPr>
          <w:rFonts w:hAnsi="宋体"/>
          <w:szCs w:val="21"/>
        </w:rPr>
      </w:pPr>
      <w:r>
        <w:rPr>
          <w:rFonts w:hint="eastAsia" w:hAnsi="宋体"/>
          <w:szCs w:val="21"/>
        </w:rPr>
        <w:t>[来源：</w:t>
      </w:r>
      <w:r>
        <w:rPr>
          <w:rFonts w:hint="eastAsia"/>
        </w:rPr>
        <w:t>GB/T 17217—2021</w:t>
      </w:r>
      <w:r>
        <w:rPr>
          <w:rFonts w:hint="eastAsia" w:hAnsi="宋体"/>
          <w:szCs w:val="21"/>
        </w:rPr>
        <w:t>，3.1]</w:t>
      </w:r>
    </w:p>
    <w:p>
      <w:pPr>
        <w:pStyle w:val="120"/>
        <w:numPr>
          <w:ilvl w:val="0"/>
          <w:numId w:val="0"/>
        </w:numPr>
        <w:rPr>
          <w:rFonts w:ascii="黑体" w:hAnsi="黑体" w:eastAsia="黑体"/>
        </w:rPr>
      </w:pPr>
      <w:r>
        <w:rPr>
          <w:rFonts w:ascii="黑体" w:hAnsi="黑体" w:eastAsia="黑体"/>
        </w:rPr>
        <w:t>3.</w:t>
      </w:r>
      <w:r>
        <w:rPr>
          <w:rFonts w:hint="eastAsia" w:ascii="黑体" w:hAnsi="黑体" w:eastAsia="黑体"/>
        </w:rPr>
        <w:t>3</w:t>
      </w:r>
    </w:p>
    <w:p>
      <w:pPr>
        <w:pStyle w:val="120"/>
        <w:numPr>
          <w:ilvl w:val="0"/>
          <w:numId w:val="0"/>
        </w:numPr>
        <w:ind w:firstLine="420" w:firstLineChars="200"/>
        <w:rPr>
          <w:rFonts w:ascii="黑体" w:hAnsi="黑体" w:eastAsia="黑体"/>
        </w:rPr>
      </w:pPr>
      <w:r>
        <w:rPr>
          <w:rFonts w:hint="eastAsia" w:ascii="黑体" w:hAnsi="黑体" w:eastAsia="黑体"/>
        </w:rPr>
        <w:t>厕位  cubicle</w:t>
      </w:r>
    </w:p>
    <w:p>
      <w:pPr>
        <w:pStyle w:val="21"/>
      </w:pPr>
      <w:r>
        <w:rPr>
          <w:rFonts w:hint="eastAsia"/>
        </w:rPr>
        <w:t>如厕的位置，根据便器的类别分为坐位、蹲位和站位。</w:t>
      </w:r>
    </w:p>
    <w:p>
      <w:pPr>
        <w:pStyle w:val="21"/>
        <w:rPr>
          <w:rFonts w:hAnsi="宋体"/>
          <w:szCs w:val="21"/>
        </w:rPr>
      </w:pPr>
      <w:r>
        <w:rPr>
          <w:rFonts w:hint="eastAsia" w:hAnsi="宋体"/>
          <w:szCs w:val="21"/>
        </w:rPr>
        <w:t>[来源：</w:t>
      </w:r>
      <w:r>
        <w:rPr>
          <w:rFonts w:hint="eastAsia"/>
        </w:rPr>
        <w:t>CJJ 14—2016，2.0.8</w:t>
      </w:r>
      <w:r>
        <w:rPr>
          <w:rFonts w:hint="eastAsia" w:hAnsi="宋体"/>
          <w:szCs w:val="21"/>
        </w:rPr>
        <w:t>]</w:t>
      </w:r>
    </w:p>
    <w:p>
      <w:pPr>
        <w:pStyle w:val="120"/>
        <w:numPr>
          <w:ilvl w:val="0"/>
          <w:numId w:val="0"/>
        </w:numPr>
        <w:rPr>
          <w:rFonts w:ascii="黑体" w:hAnsi="黑体" w:eastAsia="黑体"/>
        </w:rPr>
      </w:pPr>
      <w:r>
        <w:rPr>
          <w:rFonts w:ascii="黑体" w:hAnsi="黑体" w:eastAsia="黑体"/>
        </w:rPr>
        <w:t>3.</w:t>
      </w:r>
      <w:r>
        <w:rPr>
          <w:rFonts w:hint="eastAsia" w:ascii="黑体" w:hAnsi="黑体" w:eastAsia="黑体"/>
        </w:rPr>
        <w:t>4</w:t>
      </w:r>
    </w:p>
    <w:p>
      <w:pPr>
        <w:pStyle w:val="120"/>
        <w:numPr>
          <w:ilvl w:val="0"/>
          <w:numId w:val="0"/>
        </w:numPr>
        <w:ind w:firstLine="420" w:firstLineChars="200"/>
        <w:rPr>
          <w:rFonts w:ascii="黑体" w:hAnsi="黑体" w:eastAsia="黑体"/>
        </w:rPr>
      </w:pPr>
      <w:r>
        <w:rPr>
          <w:rFonts w:hint="eastAsia" w:ascii="黑体" w:hAnsi="黑体" w:eastAsia="黑体"/>
        </w:rPr>
        <w:t xml:space="preserve">第三卫生间  </w:t>
      </w:r>
      <w:r>
        <w:rPr>
          <w:rFonts w:ascii="黑体" w:hAnsi="黑体" w:eastAsia="黑体"/>
        </w:rPr>
        <w:t>Third bathroom</w:t>
      </w:r>
    </w:p>
    <w:p>
      <w:pPr>
        <w:pStyle w:val="21"/>
      </w:pPr>
      <w:r>
        <w:rPr>
          <w:rFonts w:hint="eastAsia"/>
        </w:rPr>
        <w:t>用于协助老、幼及行动不便者使用，方便如母子、父女、夫妻、异性服侍行动不便者等如厕时获得照顾而使用的厕所间。</w:t>
      </w:r>
    </w:p>
    <w:p>
      <w:pPr>
        <w:pStyle w:val="120"/>
        <w:numPr>
          <w:ilvl w:val="0"/>
          <w:numId w:val="0"/>
        </w:numPr>
        <w:rPr>
          <w:rFonts w:ascii="黑体" w:hAnsi="黑体" w:eastAsia="黑体"/>
        </w:rPr>
      </w:pPr>
      <w:r>
        <w:rPr>
          <w:rFonts w:ascii="黑体" w:hAnsi="黑体" w:eastAsia="黑体"/>
        </w:rPr>
        <w:t>3.</w:t>
      </w:r>
      <w:r>
        <w:rPr>
          <w:rFonts w:hint="eastAsia" w:ascii="黑体" w:hAnsi="黑体" w:eastAsia="黑体"/>
        </w:rPr>
        <w:t>5</w:t>
      </w:r>
    </w:p>
    <w:p>
      <w:pPr>
        <w:pStyle w:val="120"/>
        <w:numPr>
          <w:ilvl w:val="0"/>
          <w:numId w:val="0"/>
        </w:numPr>
        <w:ind w:firstLine="420" w:firstLineChars="200"/>
        <w:rPr>
          <w:rFonts w:ascii="黑体" w:hAnsi="黑体" w:eastAsia="黑体"/>
        </w:rPr>
      </w:pPr>
      <w:r>
        <w:rPr>
          <w:rFonts w:hint="eastAsia" w:ascii="黑体" w:hAnsi="黑体" w:eastAsia="黑体"/>
        </w:rPr>
        <w:t xml:space="preserve">无障碍厕位  Water </w:t>
      </w:r>
      <w:r>
        <w:rPr>
          <w:rFonts w:ascii="黑体" w:hAnsi="黑体" w:eastAsia="黑体"/>
        </w:rPr>
        <w:t>closet</w:t>
      </w:r>
      <w:r>
        <w:rPr>
          <w:rFonts w:hint="eastAsia" w:ascii="黑体" w:hAnsi="黑体" w:eastAsia="黑体"/>
        </w:rPr>
        <w:t xml:space="preserve"> compartment for wheelchair users</w:t>
      </w:r>
    </w:p>
    <w:p>
      <w:pPr>
        <w:pStyle w:val="21"/>
      </w:pPr>
      <w:r>
        <w:rPr>
          <w:rFonts w:hint="eastAsia"/>
        </w:rPr>
        <w:t>公共厕所内设置的带坐便器及安全抓杆且方便行动障碍者进出和使用的带隔间的厕位。</w:t>
      </w:r>
    </w:p>
    <w:p>
      <w:pPr>
        <w:pStyle w:val="21"/>
        <w:rPr>
          <w:rFonts w:hAnsi="宋体"/>
          <w:szCs w:val="21"/>
        </w:rPr>
      </w:pPr>
      <w:r>
        <w:rPr>
          <w:rFonts w:hint="eastAsia" w:hAnsi="宋体"/>
          <w:szCs w:val="21"/>
        </w:rPr>
        <w:t>[来源：</w:t>
      </w:r>
      <w:r>
        <w:rPr>
          <w:rFonts w:hint="eastAsia"/>
        </w:rPr>
        <w:t>GB 50763—2012，2.0.15</w:t>
      </w:r>
      <w:r>
        <w:rPr>
          <w:rFonts w:hint="eastAsia" w:hAnsi="宋体"/>
          <w:szCs w:val="21"/>
        </w:rPr>
        <w:t>]</w:t>
      </w:r>
    </w:p>
    <w:p>
      <w:pPr>
        <w:pStyle w:val="120"/>
        <w:numPr>
          <w:ilvl w:val="0"/>
          <w:numId w:val="0"/>
        </w:numPr>
        <w:rPr>
          <w:rFonts w:ascii="黑体" w:hAnsi="黑体" w:eastAsia="黑体"/>
        </w:rPr>
      </w:pPr>
      <w:r>
        <w:rPr>
          <w:rFonts w:ascii="黑体" w:hAnsi="黑体" w:eastAsia="黑体"/>
        </w:rPr>
        <w:t>3.</w:t>
      </w:r>
      <w:r>
        <w:rPr>
          <w:rFonts w:hint="eastAsia" w:ascii="黑体" w:hAnsi="黑体" w:eastAsia="黑体"/>
        </w:rPr>
        <w:t>6</w:t>
      </w:r>
    </w:p>
    <w:p>
      <w:pPr>
        <w:pStyle w:val="120"/>
        <w:numPr>
          <w:ilvl w:val="0"/>
          <w:numId w:val="0"/>
        </w:numPr>
        <w:ind w:firstLine="420" w:firstLineChars="200"/>
        <w:rPr>
          <w:rFonts w:ascii="黑体" w:hAnsi="黑体" w:eastAsia="黑体"/>
        </w:rPr>
      </w:pPr>
      <w:r>
        <w:rPr>
          <w:rFonts w:hint="eastAsia" w:ascii="黑体" w:hAnsi="黑体" w:eastAsia="黑体"/>
        </w:rPr>
        <w:t xml:space="preserve">新风除臭系统  </w:t>
      </w:r>
      <w:r>
        <w:rPr>
          <w:rFonts w:ascii="黑体" w:hAnsi="黑体" w:eastAsia="黑体"/>
        </w:rPr>
        <w:t xml:space="preserve">Fresh </w:t>
      </w:r>
      <w:r>
        <w:rPr>
          <w:rFonts w:hint="eastAsia" w:ascii="黑体" w:hAnsi="黑体" w:eastAsia="黑体"/>
        </w:rPr>
        <w:t>a</w:t>
      </w:r>
      <w:r>
        <w:rPr>
          <w:rFonts w:ascii="黑体" w:hAnsi="黑体" w:eastAsia="黑体"/>
        </w:rPr>
        <w:t>ir deodorizing system</w:t>
      </w:r>
    </w:p>
    <w:p>
      <w:pPr>
        <w:pStyle w:val="21"/>
      </w:pPr>
      <w:r>
        <w:rPr>
          <w:rFonts w:hint="eastAsia"/>
        </w:rPr>
        <w:t>由新风换气机及管道附件组成的一套独立空气处理系统，通过整体双向流新风离子除臭技术，将室内空气过滤净化后排出，同时引入室外新鲜空气。</w:t>
      </w:r>
    </w:p>
    <w:p>
      <w:pPr>
        <w:pStyle w:val="120"/>
        <w:numPr>
          <w:ilvl w:val="0"/>
          <w:numId w:val="0"/>
        </w:numPr>
        <w:rPr>
          <w:rFonts w:ascii="黑体" w:hAnsi="黑体" w:eastAsia="黑体"/>
        </w:rPr>
      </w:pPr>
      <w:r>
        <w:rPr>
          <w:rFonts w:hint="eastAsia" w:ascii="黑体" w:hAnsi="黑体" w:eastAsia="黑体"/>
        </w:rPr>
        <w:t>3.7</w:t>
      </w:r>
    </w:p>
    <w:p>
      <w:pPr>
        <w:pStyle w:val="21"/>
        <w:ind w:firstLine="0" w:firstLineChars="0"/>
        <w:rPr>
          <w:rFonts w:ascii="黑体" w:hAnsi="黑体" w:eastAsia="黑体"/>
          <w:szCs w:val="21"/>
        </w:rPr>
      </w:pPr>
      <w:r>
        <w:rPr>
          <w:rFonts w:hint="eastAsia" w:ascii="黑体" w:hAnsi="黑体" w:eastAsia="黑体"/>
          <w:szCs w:val="21"/>
        </w:rPr>
        <w:t xml:space="preserve">    智能化系统  </w:t>
      </w:r>
      <w:r>
        <w:rPr>
          <w:rFonts w:ascii="黑体" w:hAnsi="黑体" w:eastAsia="黑体"/>
          <w:szCs w:val="21"/>
        </w:rPr>
        <w:t xml:space="preserve">Intelligent </w:t>
      </w:r>
      <w:r>
        <w:rPr>
          <w:rFonts w:hint="eastAsia" w:ascii="黑体" w:hAnsi="黑体" w:eastAsia="黑体"/>
          <w:szCs w:val="21"/>
        </w:rPr>
        <w:t>s</w:t>
      </w:r>
      <w:r>
        <w:rPr>
          <w:rFonts w:ascii="黑体" w:hAnsi="黑体" w:eastAsia="黑体"/>
          <w:szCs w:val="21"/>
        </w:rPr>
        <w:t>ystems</w:t>
      </w:r>
    </w:p>
    <w:p>
      <w:pPr>
        <w:pStyle w:val="21"/>
      </w:pPr>
      <w:r>
        <w:rPr>
          <w:rFonts w:hint="eastAsia"/>
        </w:rPr>
        <w:t>依托物联网与互联网技术，对驿站服务所涉及到的人、事、物进行全过程实时管理，实现合理设计公厕管理模式、提升公厕保洁作业质量、降低公厕运营成本、提高应急处理能力、实时掌握一线管理和作业水平、提高管理效率、为政府管理部门提供实时在线的监管平台。</w:t>
      </w:r>
    </w:p>
    <w:p>
      <w:pPr>
        <w:pStyle w:val="21"/>
        <w:ind w:firstLine="0" w:firstLineChars="0"/>
        <w:rPr>
          <w:rFonts w:ascii="黑体" w:hAnsi="黑体" w:eastAsia="黑体"/>
          <w:szCs w:val="21"/>
        </w:rPr>
      </w:pPr>
      <w:r>
        <w:rPr>
          <w:rFonts w:hint="eastAsia" w:ascii="黑体" w:hAnsi="黑体" w:eastAsia="黑体"/>
          <w:szCs w:val="21"/>
        </w:rPr>
        <w:t>3.8</w:t>
      </w:r>
    </w:p>
    <w:p>
      <w:pPr>
        <w:pStyle w:val="21"/>
        <w:ind w:firstLine="0" w:firstLineChars="0"/>
        <w:rPr>
          <w:rFonts w:ascii="黑体" w:hAnsi="黑体" w:eastAsia="黑体"/>
          <w:szCs w:val="21"/>
        </w:rPr>
      </w:pPr>
      <w:r>
        <w:rPr>
          <w:rFonts w:hint="eastAsia" w:ascii="黑体" w:hAnsi="黑体" w:eastAsia="黑体"/>
          <w:szCs w:val="21"/>
        </w:rPr>
        <w:t xml:space="preserve">    监管单位  </w:t>
      </w:r>
      <w:r>
        <w:rPr>
          <w:rFonts w:ascii="黑体" w:hAnsi="黑体" w:eastAsia="黑体"/>
          <w:szCs w:val="21"/>
        </w:rPr>
        <w:t>Regulatory authorities</w:t>
      </w:r>
    </w:p>
    <w:p>
      <w:pPr>
        <w:pStyle w:val="21"/>
      </w:pPr>
      <w:r>
        <w:rPr>
          <w:rFonts w:hint="eastAsia"/>
        </w:rPr>
        <w:t>承担驿站监督检查职能的组织。</w:t>
      </w:r>
    </w:p>
    <w:p>
      <w:pPr>
        <w:pStyle w:val="21"/>
        <w:ind w:firstLine="0" w:firstLineChars="0"/>
        <w:rPr>
          <w:rFonts w:ascii="黑体" w:hAnsi="黑体" w:eastAsia="黑体"/>
          <w:szCs w:val="21"/>
        </w:rPr>
      </w:pPr>
      <w:r>
        <w:rPr>
          <w:rFonts w:hint="eastAsia" w:ascii="黑体" w:hAnsi="黑体" w:eastAsia="黑体"/>
          <w:szCs w:val="21"/>
        </w:rPr>
        <w:t>3.9</w:t>
      </w:r>
    </w:p>
    <w:p>
      <w:pPr>
        <w:pStyle w:val="21"/>
        <w:ind w:firstLine="0" w:firstLineChars="0"/>
        <w:rPr>
          <w:rFonts w:ascii="黑体" w:hAnsi="黑体" w:eastAsia="黑体"/>
          <w:szCs w:val="21"/>
        </w:rPr>
      </w:pPr>
      <w:r>
        <w:rPr>
          <w:rFonts w:hint="eastAsia" w:ascii="黑体" w:hAnsi="黑体" w:eastAsia="黑体"/>
          <w:szCs w:val="21"/>
        </w:rPr>
        <w:t xml:space="preserve">    管理主体  </w:t>
      </w:r>
      <w:r>
        <w:rPr>
          <w:rFonts w:ascii="黑体" w:hAnsi="黑体" w:eastAsia="黑体"/>
          <w:szCs w:val="21"/>
        </w:rPr>
        <w:t xml:space="preserve">Management </w:t>
      </w:r>
      <w:r>
        <w:rPr>
          <w:rFonts w:hint="eastAsia" w:ascii="黑体" w:hAnsi="黑体" w:eastAsia="黑体"/>
          <w:szCs w:val="21"/>
        </w:rPr>
        <w:t>b</w:t>
      </w:r>
      <w:r>
        <w:rPr>
          <w:rFonts w:ascii="黑体" w:hAnsi="黑体" w:eastAsia="黑体"/>
          <w:szCs w:val="21"/>
        </w:rPr>
        <w:t>ody</w:t>
      </w:r>
    </w:p>
    <w:p>
      <w:pPr>
        <w:pStyle w:val="21"/>
        <w:ind w:firstLine="0" w:firstLineChars="0"/>
      </w:pPr>
      <w:r>
        <w:rPr>
          <w:rFonts w:hint="eastAsia"/>
        </w:rPr>
        <w:t xml:space="preserve">    承担和实施属地范围内驿站管理职能的人或组织。</w:t>
      </w:r>
    </w:p>
    <w:p>
      <w:pPr>
        <w:pStyle w:val="21"/>
        <w:ind w:firstLine="0" w:firstLineChars="0"/>
        <w:rPr>
          <w:rFonts w:ascii="黑体" w:hAnsi="黑体" w:eastAsia="黑体"/>
          <w:szCs w:val="21"/>
        </w:rPr>
      </w:pPr>
      <w:r>
        <w:rPr>
          <w:rFonts w:hint="eastAsia" w:ascii="黑体" w:hAnsi="黑体" w:eastAsia="黑体"/>
          <w:szCs w:val="21"/>
        </w:rPr>
        <w:t>3.10</w:t>
      </w:r>
    </w:p>
    <w:p>
      <w:pPr>
        <w:pStyle w:val="21"/>
        <w:ind w:firstLine="0" w:firstLineChars="0"/>
      </w:pPr>
      <w:r>
        <w:rPr>
          <w:rFonts w:hint="eastAsia" w:ascii="黑体" w:hAnsi="黑体" w:eastAsia="黑体"/>
          <w:szCs w:val="21"/>
        </w:rPr>
        <w:t xml:space="preserve">    管养单位  </w:t>
      </w:r>
      <w:r>
        <w:rPr>
          <w:rFonts w:ascii="黑体" w:hAnsi="黑体" w:eastAsia="黑体"/>
          <w:szCs w:val="21"/>
        </w:rPr>
        <w:t>Custody unit</w:t>
      </w:r>
    </w:p>
    <w:p>
      <w:pPr>
        <w:pStyle w:val="21"/>
        <w:ind w:firstLine="0" w:firstLineChars="0"/>
      </w:pPr>
      <w:r>
        <w:rPr>
          <w:rFonts w:hint="eastAsia"/>
        </w:rPr>
        <w:t xml:space="preserve">    承担驿站日常管理和运行养护职能的组织。</w:t>
      </w:r>
    </w:p>
    <w:p>
      <w:pPr>
        <w:pStyle w:val="40"/>
      </w:pPr>
      <w:bookmarkStart w:id="57" w:name="_Toc129093083"/>
      <w:bookmarkStart w:id="58" w:name="_Toc116553077"/>
      <w:bookmarkStart w:id="59" w:name="_Toc117168595"/>
      <w:bookmarkStart w:id="60" w:name="_Toc129092899"/>
      <w:r>
        <w:rPr>
          <w:rFonts w:hint="eastAsia"/>
        </w:rPr>
        <w:t>符号和缩略语</w:t>
      </w:r>
      <w:bookmarkEnd w:id="57"/>
      <w:bookmarkEnd w:id="58"/>
      <w:bookmarkEnd w:id="59"/>
      <w:bookmarkEnd w:id="60"/>
    </w:p>
    <w:p>
      <w:pPr>
        <w:pStyle w:val="21"/>
      </w:pPr>
      <w:r>
        <w:rPr>
          <w:rFonts w:hint="eastAsia"/>
        </w:rPr>
        <w:t>下列符号和缩略语适用于本文件。</w:t>
      </w:r>
    </w:p>
    <w:p>
      <w:pPr>
        <w:pStyle w:val="21"/>
      </w:pPr>
      <w:r>
        <w:rPr>
          <w:rFonts w:hint="eastAsia"/>
        </w:rPr>
        <w:t>6S：整理</w:t>
      </w:r>
      <w:r>
        <w:t>、整顿、清扫、清洁、素养、安全</w:t>
      </w:r>
      <w:r>
        <w:rPr>
          <w:rFonts w:hint="eastAsia"/>
        </w:rPr>
        <w:t>（</w:t>
      </w:r>
      <w:r>
        <w:t>SEIRI</w:t>
      </w:r>
      <w:r>
        <w:rPr>
          <w:rFonts w:hint="eastAsia"/>
        </w:rPr>
        <w:t>、</w:t>
      </w:r>
      <w:r>
        <w:t>SEITON</w:t>
      </w:r>
      <w:r>
        <w:rPr>
          <w:rFonts w:hint="eastAsia"/>
        </w:rPr>
        <w:t>、</w:t>
      </w:r>
      <w:r>
        <w:t>SEISO</w:t>
      </w:r>
      <w:r>
        <w:rPr>
          <w:rFonts w:hint="eastAsia"/>
        </w:rPr>
        <w:t>、</w:t>
      </w:r>
      <w:r>
        <w:t>SEIKETSU</w:t>
      </w:r>
      <w:r>
        <w:rPr>
          <w:rFonts w:hint="eastAsia"/>
        </w:rPr>
        <w:t>、</w:t>
      </w:r>
      <w:r>
        <w:t>SHITSUKE</w:t>
      </w:r>
      <w:r>
        <w:rPr>
          <w:rFonts w:hint="eastAsia"/>
        </w:rPr>
        <w:t>、</w:t>
      </w:r>
      <w:r>
        <w:t>SAFETY</w:t>
      </w:r>
      <w:r>
        <w:rPr>
          <w:rFonts w:hint="eastAsia"/>
        </w:rPr>
        <w:t>）</w:t>
      </w:r>
    </w:p>
    <w:p>
      <w:pPr>
        <w:pStyle w:val="21"/>
      </w:pPr>
      <w:r>
        <w:rPr>
          <w:rFonts w:hint="eastAsia"/>
        </w:rPr>
        <w:t>TVOC：</w:t>
      </w:r>
      <w:r>
        <w:t>总挥发性有机化合物</w:t>
      </w:r>
      <w:r>
        <w:rPr>
          <w:rFonts w:hint="eastAsia"/>
        </w:rPr>
        <w:t>（</w:t>
      </w:r>
      <w:r>
        <w:t>Total Volatile Organic Compounds</w:t>
      </w:r>
      <w:r>
        <w:rPr>
          <w:rFonts w:hint="eastAsia"/>
        </w:rPr>
        <w:t>）</w:t>
      </w:r>
    </w:p>
    <w:p>
      <w:pPr>
        <w:pStyle w:val="40"/>
      </w:pPr>
      <w:bookmarkStart w:id="61" w:name="_Toc117168596"/>
      <w:bookmarkStart w:id="62" w:name="_Toc115257557"/>
      <w:bookmarkStart w:id="63" w:name="_Toc116553078"/>
      <w:bookmarkStart w:id="64" w:name="_Toc115276280"/>
      <w:bookmarkStart w:id="65" w:name="_Toc115169973"/>
      <w:bookmarkStart w:id="66" w:name="_Toc129093084"/>
      <w:bookmarkStart w:id="67" w:name="_Toc129092900"/>
      <w:bookmarkStart w:id="68" w:name="_Toc115170040"/>
      <w:r>
        <w:rPr>
          <w:rFonts w:hint="eastAsia"/>
        </w:rPr>
        <w:t>建设要求</w:t>
      </w:r>
      <w:bookmarkEnd w:id="61"/>
      <w:bookmarkEnd w:id="62"/>
      <w:bookmarkEnd w:id="63"/>
      <w:bookmarkEnd w:id="64"/>
      <w:bookmarkEnd w:id="65"/>
      <w:bookmarkEnd w:id="66"/>
      <w:bookmarkEnd w:id="67"/>
      <w:bookmarkEnd w:id="68"/>
    </w:p>
    <w:p>
      <w:pPr>
        <w:pStyle w:val="37"/>
      </w:pPr>
      <w:bookmarkStart w:id="69" w:name="_Toc116553079"/>
      <w:bookmarkStart w:id="70" w:name="_Toc117168597"/>
      <w:bookmarkStart w:id="71" w:name="_Toc115170041"/>
      <w:bookmarkStart w:id="72" w:name="_Toc115276281"/>
      <w:bookmarkStart w:id="73" w:name="_Toc129092901"/>
      <w:bookmarkStart w:id="74" w:name="_Toc115257558"/>
      <w:bookmarkStart w:id="75" w:name="_Toc115169974"/>
      <w:bookmarkStart w:id="76" w:name="_Toc129093085"/>
      <w:r>
        <w:rPr>
          <w:rFonts w:hint="eastAsia"/>
        </w:rPr>
        <w:t>选址要求</w:t>
      </w:r>
      <w:bookmarkEnd w:id="69"/>
      <w:bookmarkEnd w:id="70"/>
      <w:bookmarkEnd w:id="71"/>
      <w:bookmarkEnd w:id="72"/>
      <w:bookmarkEnd w:id="73"/>
      <w:bookmarkEnd w:id="74"/>
      <w:bookmarkEnd w:id="75"/>
      <w:bookmarkEnd w:id="76"/>
    </w:p>
    <w:p>
      <w:pPr>
        <w:pStyle w:val="41"/>
        <w:spacing w:before="156" w:after="156"/>
      </w:pPr>
      <w:r>
        <w:rPr>
          <w:rFonts w:hint="eastAsia"/>
        </w:rPr>
        <w:t>基本要求</w:t>
      </w:r>
    </w:p>
    <w:p>
      <w:pPr>
        <w:pStyle w:val="108"/>
      </w:pPr>
      <w:r>
        <w:rPr>
          <w:rFonts w:hint="eastAsia"/>
        </w:rPr>
        <w:t>驿站的规划应符合CJJ 27—2012中3.4.1的规定。</w:t>
      </w:r>
    </w:p>
    <w:p>
      <w:pPr>
        <w:pStyle w:val="108"/>
      </w:pPr>
      <w:r>
        <w:rPr>
          <w:rFonts w:hint="eastAsia"/>
        </w:rPr>
        <w:t>驿站的建设应符合城市发展规划，满足本市城市环境及景观要求。</w:t>
      </w:r>
    </w:p>
    <w:p>
      <w:pPr>
        <w:pStyle w:val="108"/>
      </w:pPr>
      <w:r>
        <w:rPr>
          <w:rFonts w:hint="eastAsia"/>
        </w:rPr>
        <w:t>驿站的建设点应无地质灾害、高压电缆等安全隐患。</w:t>
      </w:r>
    </w:p>
    <w:p>
      <w:pPr>
        <w:pStyle w:val="108"/>
      </w:pPr>
      <w:r>
        <w:rPr>
          <w:rFonts w:hint="eastAsia"/>
        </w:rPr>
        <w:t>驿站的建设应减少对城市道路交通、消防通道、行车视线等的影响。</w:t>
      </w:r>
    </w:p>
    <w:p>
      <w:pPr>
        <w:pStyle w:val="41"/>
        <w:spacing w:before="156" w:after="156"/>
      </w:pPr>
      <w:r>
        <w:rPr>
          <w:rFonts w:hint="eastAsia"/>
        </w:rPr>
        <w:t>设置要求</w:t>
      </w:r>
    </w:p>
    <w:p>
      <w:pPr>
        <w:pStyle w:val="108"/>
      </w:pPr>
      <w:r>
        <w:rPr>
          <w:rFonts w:hint="eastAsia"/>
        </w:rPr>
        <w:t>根据本市的特点，典型区域的驿站设置应符合以下规定：</w:t>
      </w:r>
    </w:p>
    <w:p>
      <w:pPr>
        <w:pStyle w:val="54"/>
      </w:pPr>
      <w:r>
        <w:rPr>
          <w:rFonts w:hint="eastAsia"/>
        </w:rPr>
        <w:t>江河两岸：应结合沿江风光带人流驻足点的情况布置；</w:t>
      </w:r>
    </w:p>
    <w:p>
      <w:pPr>
        <w:pStyle w:val="54"/>
      </w:pPr>
      <w:r>
        <w:rPr>
          <w:rFonts w:hint="eastAsia"/>
        </w:rPr>
        <w:t>街道两旁：应布局在城市道路红线之内，宜在建筑退让道路距离、城市道路绿化带、城市绿地内，不侵占人行道；</w:t>
      </w:r>
    </w:p>
    <w:p>
      <w:pPr>
        <w:pStyle w:val="54"/>
      </w:pPr>
      <w:r>
        <w:rPr>
          <w:rFonts w:hint="eastAsia"/>
        </w:rPr>
        <w:t>桥底下：应结合桥下桥墩之间的架空空间布置；</w:t>
      </w:r>
    </w:p>
    <w:p>
      <w:pPr>
        <w:pStyle w:val="54"/>
      </w:pPr>
      <w:r>
        <w:rPr>
          <w:rFonts w:hint="eastAsia"/>
        </w:rPr>
        <w:t>公园里：应结合浏览路线、景观驻留点等布置；</w:t>
      </w:r>
    </w:p>
    <w:p>
      <w:pPr>
        <w:pStyle w:val="54"/>
      </w:pPr>
      <w:r>
        <w:rPr>
          <w:rFonts w:hint="eastAsia"/>
        </w:rPr>
        <w:t>社区中：应结合百姓需求等布置。</w:t>
      </w:r>
    </w:p>
    <w:p>
      <w:pPr>
        <w:pStyle w:val="108"/>
      </w:pPr>
      <w:r>
        <w:rPr>
          <w:rFonts w:hint="eastAsia"/>
        </w:rPr>
        <w:t>驿站的设置密度应符合GB/T 50337—2018中7.1.4的规定。</w:t>
      </w:r>
    </w:p>
    <w:p>
      <w:pPr>
        <w:pStyle w:val="108"/>
      </w:pPr>
      <w:r>
        <w:rPr>
          <w:rFonts w:hint="eastAsia"/>
        </w:rPr>
        <w:t>驿站的设置间距应符合表1的规定。</w:t>
      </w:r>
    </w:p>
    <w:p>
      <w:pPr>
        <w:pStyle w:val="122"/>
      </w:pPr>
      <w:r>
        <w:rPr>
          <w:rFonts w:hint="eastAsia"/>
        </w:rPr>
        <w:t>驿站设置间距</w:t>
      </w:r>
    </w:p>
    <w:tbl>
      <w:tblPr>
        <w:tblStyle w:val="29"/>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18"/>
        <w:gridCol w:w="2927"/>
        <w:gridCol w:w="3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245" w:type="dxa"/>
            <w:gridSpan w:val="2"/>
            <w:tcBorders>
              <w:top w:val="single" w:color="auto" w:sz="12" w:space="0"/>
              <w:left w:val="single" w:color="auto" w:sz="12" w:space="0"/>
              <w:bottom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设置位置</w:t>
            </w:r>
          </w:p>
        </w:tc>
        <w:tc>
          <w:tcPr>
            <w:tcW w:w="3260" w:type="dxa"/>
            <w:tcBorders>
              <w:top w:val="single" w:color="auto" w:sz="12" w:space="0"/>
              <w:bottom w:val="single" w:color="auto" w:sz="12" w:space="0"/>
              <w:right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设置间距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18" w:type="dxa"/>
            <w:vMerge w:val="restart"/>
            <w:tcBorders>
              <w:top w:val="single" w:color="auto" w:sz="12" w:space="0"/>
              <w:left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城市道路</w:t>
            </w:r>
          </w:p>
        </w:tc>
        <w:tc>
          <w:tcPr>
            <w:tcW w:w="2927" w:type="dxa"/>
            <w:tcBorders>
              <w:top w:val="single" w:color="auto" w:sz="12" w:space="0"/>
            </w:tcBorders>
            <w:shd w:val="clear" w:color="auto" w:fill="auto"/>
            <w:vAlign w:val="center"/>
          </w:tcPr>
          <w:p>
            <w:pPr>
              <w:pStyle w:val="21"/>
              <w:ind w:firstLine="0" w:firstLineChars="0"/>
              <w:jc w:val="center"/>
              <w:rPr>
                <w:sz w:val="18"/>
                <w:szCs w:val="18"/>
              </w:rPr>
            </w:pPr>
            <w:r>
              <w:rPr>
                <w:rFonts w:hint="eastAsia" w:hAnsi="宋体"/>
                <w:sz w:val="18"/>
                <w:szCs w:val="18"/>
              </w:rPr>
              <w:t>商业性路段</w:t>
            </w:r>
          </w:p>
        </w:tc>
        <w:tc>
          <w:tcPr>
            <w:tcW w:w="3260" w:type="dxa"/>
            <w:tcBorders>
              <w:top w:val="single" w:color="auto" w:sz="12" w:space="0"/>
              <w:right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小于300</w:t>
            </w:r>
            <w:r>
              <w:rPr>
                <w:sz w:val="18"/>
                <w:szCs w:val="18"/>
              </w:rPr>
              <w:t> </w:t>
            </w:r>
            <w:r>
              <w:rPr>
                <w:rFonts w:hint="eastAsia"/>
                <w:sz w:val="18"/>
                <w:szCs w:val="18"/>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18" w:type="dxa"/>
            <w:vMerge w:val="continue"/>
            <w:tcBorders>
              <w:left w:val="single" w:color="auto" w:sz="12" w:space="0"/>
            </w:tcBorders>
            <w:shd w:val="clear" w:color="auto" w:fill="auto"/>
            <w:vAlign w:val="center"/>
          </w:tcPr>
          <w:p>
            <w:pPr>
              <w:pStyle w:val="21"/>
              <w:ind w:firstLine="0" w:firstLineChars="0"/>
              <w:jc w:val="center"/>
              <w:rPr>
                <w:sz w:val="18"/>
                <w:szCs w:val="18"/>
              </w:rPr>
            </w:pPr>
          </w:p>
        </w:tc>
        <w:tc>
          <w:tcPr>
            <w:tcW w:w="2927" w:type="dxa"/>
            <w:shd w:val="clear" w:color="auto" w:fill="auto"/>
            <w:vAlign w:val="center"/>
          </w:tcPr>
          <w:p>
            <w:pPr>
              <w:pStyle w:val="21"/>
              <w:ind w:firstLine="0" w:firstLineChars="0"/>
              <w:jc w:val="center"/>
              <w:rPr>
                <w:sz w:val="18"/>
                <w:szCs w:val="18"/>
              </w:rPr>
            </w:pPr>
            <w:r>
              <w:rPr>
                <w:rFonts w:hint="eastAsia" w:hAnsi="宋体"/>
                <w:sz w:val="18"/>
                <w:szCs w:val="18"/>
              </w:rPr>
              <w:t>生活性路段</w:t>
            </w:r>
          </w:p>
        </w:tc>
        <w:tc>
          <w:tcPr>
            <w:tcW w:w="3260" w:type="dxa"/>
            <w:tcBorders>
              <w:right w:val="single" w:color="auto" w:sz="12" w:space="0"/>
            </w:tcBorders>
            <w:shd w:val="clear" w:color="auto" w:fill="auto"/>
            <w:vAlign w:val="center"/>
          </w:tcPr>
          <w:p>
            <w:pPr>
              <w:pStyle w:val="21"/>
              <w:ind w:firstLine="0" w:firstLineChars="0"/>
              <w:jc w:val="center"/>
              <w:rPr>
                <w:sz w:val="18"/>
                <w:szCs w:val="18"/>
              </w:rPr>
            </w:pPr>
            <w:r>
              <w:rPr>
                <w:rFonts w:hint="eastAsia" w:hAnsi="宋体"/>
                <w:sz w:val="18"/>
                <w:szCs w:val="18"/>
              </w:rPr>
              <w:t>300</w:t>
            </w:r>
            <w:r>
              <w:rPr>
                <w:sz w:val="18"/>
                <w:szCs w:val="18"/>
              </w:rPr>
              <w:t> </w:t>
            </w:r>
            <w:r>
              <w:rPr>
                <w:rFonts w:hint="eastAsia"/>
                <w:sz w:val="18"/>
                <w:szCs w:val="18"/>
              </w:rPr>
              <w:t>m</w:t>
            </w:r>
            <w:r>
              <w:rPr>
                <w:rFonts w:hint="eastAsia" w:hAnsi="宋体"/>
                <w:sz w:val="18"/>
                <w:szCs w:val="18"/>
              </w:rPr>
              <w:t>～500</w:t>
            </w:r>
            <w:r>
              <w:rPr>
                <w:sz w:val="18"/>
                <w:szCs w:val="18"/>
              </w:rPr>
              <w:t> </w:t>
            </w:r>
            <w:r>
              <w:rPr>
                <w:rFonts w:hint="eastAsia"/>
                <w:sz w:val="18"/>
                <w:szCs w:val="18"/>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18" w:type="dxa"/>
            <w:vMerge w:val="continue"/>
            <w:tcBorders>
              <w:left w:val="single" w:color="auto" w:sz="12" w:space="0"/>
              <w:bottom w:val="single" w:color="auto" w:sz="4" w:space="0"/>
            </w:tcBorders>
            <w:shd w:val="clear" w:color="auto" w:fill="auto"/>
            <w:vAlign w:val="center"/>
          </w:tcPr>
          <w:p>
            <w:pPr>
              <w:pStyle w:val="21"/>
              <w:ind w:firstLine="0" w:firstLineChars="0"/>
              <w:jc w:val="center"/>
              <w:rPr>
                <w:sz w:val="18"/>
                <w:szCs w:val="18"/>
              </w:rPr>
            </w:pPr>
          </w:p>
        </w:tc>
        <w:tc>
          <w:tcPr>
            <w:tcW w:w="2927" w:type="dxa"/>
            <w:tcBorders>
              <w:bottom w:val="single" w:color="auto" w:sz="4" w:space="0"/>
            </w:tcBorders>
            <w:shd w:val="clear" w:color="auto" w:fill="auto"/>
            <w:vAlign w:val="center"/>
          </w:tcPr>
          <w:p>
            <w:pPr>
              <w:pStyle w:val="21"/>
              <w:ind w:firstLine="0" w:firstLineChars="0"/>
              <w:jc w:val="center"/>
              <w:rPr>
                <w:sz w:val="18"/>
                <w:szCs w:val="18"/>
              </w:rPr>
            </w:pPr>
            <w:r>
              <w:rPr>
                <w:rFonts w:hint="eastAsia" w:hAnsi="宋体"/>
                <w:sz w:val="18"/>
                <w:szCs w:val="18"/>
              </w:rPr>
              <w:t>交通性路段</w:t>
            </w:r>
          </w:p>
        </w:tc>
        <w:tc>
          <w:tcPr>
            <w:tcW w:w="3260" w:type="dxa"/>
            <w:tcBorders>
              <w:bottom w:val="single" w:color="auto" w:sz="4" w:space="0"/>
              <w:right w:val="single" w:color="auto" w:sz="12" w:space="0"/>
            </w:tcBorders>
            <w:shd w:val="clear" w:color="auto" w:fill="auto"/>
            <w:vAlign w:val="center"/>
          </w:tcPr>
          <w:p>
            <w:pPr>
              <w:pStyle w:val="21"/>
              <w:ind w:firstLine="0" w:firstLineChars="0"/>
              <w:jc w:val="center"/>
              <w:rPr>
                <w:sz w:val="18"/>
                <w:szCs w:val="18"/>
              </w:rPr>
            </w:pPr>
            <w:r>
              <w:rPr>
                <w:rFonts w:hint="eastAsia" w:hAnsi="宋体"/>
                <w:sz w:val="18"/>
                <w:szCs w:val="18"/>
              </w:rPr>
              <w:t>600</w:t>
            </w:r>
            <w:r>
              <w:rPr>
                <w:sz w:val="18"/>
                <w:szCs w:val="18"/>
              </w:rPr>
              <w:t> </w:t>
            </w:r>
            <w:r>
              <w:rPr>
                <w:rFonts w:hint="eastAsia"/>
                <w:sz w:val="18"/>
                <w:szCs w:val="18"/>
              </w:rPr>
              <w:t>m</w:t>
            </w:r>
            <w:r>
              <w:rPr>
                <w:rFonts w:hint="eastAsia" w:hAnsi="宋体"/>
                <w:sz w:val="18"/>
                <w:szCs w:val="18"/>
              </w:rPr>
              <w:t>～1000</w:t>
            </w:r>
            <w:r>
              <w:rPr>
                <w:sz w:val="18"/>
                <w:szCs w:val="18"/>
              </w:rPr>
              <w:t> </w:t>
            </w:r>
            <w:r>
              <w:rPr>
                <w:rFonts w:hint="eastAsia"/>
                <w:sz w:val="18"/>
                <w:szCs w:val="18"/>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18" w:type="dxa"/>
            <w:vMerge w:val="restart"/>
            <w:tcBorders>
              <w:top w:val="single" w:color="auto" w:sz="4" w:space="0"/>
              <w:left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城市休憩场所</w:t>
            </w:r>
          </w:p>
        </w:tc>
        <w:tc>
          <w:tcPr>
            <w:tcW w:w="2927" w:type="dxa"/>
            <w:tcBorders>
              <w:top w:val="single" w:color="auto" w:sz="4" w:space="0"/>
            </w:tcBorders>
            <w:shd w:val="clear" w:color="auto" w:fill="auto"/>
            <w:vAlign w:val="center"/>
          </w:tcPr>
          <w:p>
            <w:pPr>
              <w:pStyle w:val="21"/>
              <w:ind w:firstLine="0" w:firstLineChars="0"/>
              <w:jc w:val="center"/>
              <w:rPr>
                <w:sz w:val="18"/>
                <w:szCs w:val="18"/>
              </w:rPr>
            </w:pPr>
            <w:r>
              <w:rPr>
                <w:rFonts w:hint="eastAsia"/>
                <w:sz w:val="18"/>
                <w:szCs w:val="18"/>
              </w:rPr>
              <w:t>开放式公园（公共绿地）</w:t>
            </w:r>
          </w:p>
        </w:tc>
        <w:tc>
          <w:tcPr>
            <w:tcW w:w="3260" w:type="dxa"/>
            <w:tcBorders>
              <w:top w:val="single" w:color="auto" w:sz="4" w:space="0"/>
              <w:right w:val="single" w:color="auto" w:sz="12" w:space="0"/>
            </w:tcBorders>
            <w:shd w:val="clear" w:color="auto" w:fill="auto"/>
            <w:vAlign w:val="center"/>
          </w:tcPr>
          <w:p>
            <w:pPr>
              <w:pStyle w:val="21"/>
              <w:ind w:firstLine="0" w:firstLineChars="0"/>
              <w:jc w:val="center"/>
              <w:rPr>
                <w:sz w:val="18"/>
                <w:szCs w:val="18"/>
              </w:rPr>
            </w:pPr>
            <w:r>
              <w:rPr>
                <w:rFonts w:hint="eastAsia" w:hAnsi="宋体"/>
                <w:sz w:val="18"/>
                <w:szCs w:val="18"/>
              </w:rPr>
              <w:t>400</w:t>
            </w:r>
            <w:r>
              <w:rPr>
                <w:sz w:val="18"/>
                <w:szCs w:val="18"/>
              </w:rPr>
              <w:t> </w:t>
            </w:r>
            <w:r>
              <w:rPr>
                <w:rFonts w:hint="eastAsia"/>
                <w:sz w:val="18"/>
                <w:szCs w:val="18"/>
              </w:rPr>
              <w:t>m</w:t>
            </w:r>
            <w:r>
              <w:rPr>
                <w:rFonts w:hint="eastAsia" w:hAnsi="宋体"/>
                <w:sz w:val="18"/>
                <w:szCs w:val="18"/>
              </w:rPr>
              <w:t>～1000</w:t>
            </w:r>
            <w:r>
              <w:rPr>
                <w:sz w:val="18"/>
                <w:szCs w:val="18"/>
              </w:rPr>
              <w:t> </w:t>
            </w:r>
            <w:r>
              <w:rPr>
                <w:rFonts w:hint="eastAsia"/>
                <w:sz w:val="18"/>
                <w:szCs w:val="18"/>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18" w:type="dxa"/>
            <w:vMerge w:val="continue"/>
            <w:tcBorders>
              <w:left w:val="single" w:color="auto" w:sz="12" w:space="0"/>
            </w:tcBorders>
            <w:shd w:val="clear" w:color="auto" w:fill="auto"/>
            <w:vAlign w:val="center"/>
          </w:tcPr>
          <w:p>
            <w:pPr>
              <w:pStyle w:val="21"/>
              <w:ind w:firstLine="0" w:firstLineChars="0"/>
              <w:jc w:val="center"/>
              <w:rPr>
                <w:sz w:val="18"/>
                <w:szCs w:val="18"/>
              </w:rPr>
            </w:pPr>
          </w:p>
        </w:tc>
        <w:tc>
          <w:tcPr>
            <w:tcW w:w="2927" w:type="dxa"/>
            <w:shd w:val="clear" w:color="auto" w:fill="auto"/>
            <w:vAlign w:val="center"/>
          </w:tcPr>
          <w:p>
            <w:pPr>
              <w:pStyle w:val="21"/>
              <w:ind w:firstLine="0" w:firstLineChars="0"/>
              <w:jc w:val="center"/>
              <w:rPr>
                <w:sz w:val="18"/>
                <w:szCs w:val="18"/>
              </w:rPr>
            </w:pPr>
            <w:r>
              <w:rPr>
                <w:rFonts w:hint="eastAsia"/>
                <w:sz w:val="18"/>
                <w:szCs w:val="18"/>
              </w:rPr>
              <w:t>城市广场</w:t>
            </w:r>
          </w:p>
        </w:tc>
        <w:tc>
          <w:tcPr>
            <w:tcW w:w="3260" w:type="dxa"/>
            <w:tcBorders>
              <w:right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小于200</w:t>
            </w:r>
            <w:r>
              <w:rPr>
                <w:sz w:val="18"/>
                <w:szCs w:val="18"/>
              </w:rPr>
              <w:t> </w:t>
            </w:r>
            <w:r>
              <w:rPr>
                <w:rFonts w:hint="eastAsia"/>
                <w:sz w:val="18"/>
                <w:szCs w:val="18"/>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18" w:type="dxa"/>
            <w:vMerge w:val="continue"/>
            <w:tcBorders>
              <w:left w:val="single" w:color="auto" w:sz="12" w:space="0"/>
            </w:tcBorders>
            <w:shd w:val="clear" w:color="auto" w:fill="auto"/>
            <w:vAlign w:val="center"/>
          </w:tcPr>
          <w:p>
            <w:pPr>
              <w:pStyle w:val="21"/>
              <w:ind w:firstLine="0" w:firstLineChars="0"/>
              <w:jc w:val="center"/>
              <w:rPr>
                <w:sz w:val="18"/>
                <w:szCs w:val="18"/>
              </w:rPr>
            </w:pPr>
          </w:p>
        </w:tc>
        <w:tc>
          <w:tcPr>
            <w:tcW w:w="2927" w:type="dxa"/>
            <w:shd w:val="clear" w:color="auto" w:fill="auto"/>
            <w:vAlign w:val="center"/>
          </w:tcPr>
          <w:p>
            <w:pPr>
              <w:pStyle w:val="21"/>
              <w:ind w:firstLine="0" w:firstLineChars="0"/>
              <w:jc w:val="center"/>
              <w:rPr>
                <w:sz w:val="18"/>
                <w:szCs w:val="18"/>
              </w:rPr>
            </w:pPr>
            <w:r>
              <w:rPr>
                <w:rFonts w:hint="eastAsia"/>
                <w:sz w:val="18"/>
                <w:szCs w:val="18"/>
              </w:rPr>
              <w:t>旅游景区</w:t>
            </w:r>
          </w:p>
        </w:tc>
        <w:tc>
          <w:tcPr>
            <w:tcW w:w="3260" w:type="dxa"/>
            <w:tcBorders>
              <w:right w:val="single" w:color="auto" w:sz="12" w:space="0"/>
            </w:tcBorders>
            <w:shd w:val="clear" w:color="auto" w:fill="auto"/>
            <w:vAlign w:val="center"/>
          </w:tcPr>
          <w:p>
            <w:pPr>
              <w:pStyle w:val="21"/>
              <w:ind w:firstLine="0" w:firstLineChars="0"/>
              <w:jc w:val="center"/>
              <w:rPr>
                <w:sz w:val="18"/>
                <w:szCs w:val="18"/>
              </w:rPr>
            </w:pPr>
            <w:r>
              <w:rPr>
                <w:rFonts w:hint="eastAsia" w:hAnsi="宋体"/>
                <w:sz w:val="18"/>
                <w:szCs w:val="18"/>
              </w:rPr>
              <w:t>600</w:t>
            </w:r>
            <w:r>
              <w:rPr>
                <w:sz w:val="18"/>
                <w:szCs w:val="18"/>
              </w:rPr>
              <w:t> </w:t>
            </w:r>
            <w:r>
              <w:rPr>
                <w:rFonts w:hint="eastAsia"/>
                <w:sz w:val="18"/>
                <w:szCs w:val="18"/>
              </w:rPr>
              <w:t>m</w:t>
            </w:r>
            <w:r>
              <w:rPr>
                <w:rFonts w:hint="eastAsia" w:hAnsi="宋体"/>
                <w:sz w:val="18"/>
                <w:szCs w:val="18"/>
              </w:rPr>
              <w:t>～1000</w:t>
            </w:r>
            <w:r>
              <w:rPr>
                <w:sz w:val="18"/>
                <w:szCs w:val="18"/>
              </w:rPr>
              <w:t> </w:t>
            </w:r>
            <w:r>
              <w:rPr>
                <w:rFonts w:hint="eastAsia"/>
                <w:sz w:val="18"/>
                <w:szCs w:val="18"/>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18" w:type="dxa"/>
            <w:tcBorders>
              <w:left w:val="single" w:color="auto" w:sz="12" w:space="0"/>
              <w:bottom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居住区</w:t>
            </w:r>
          </w:p>
        </w:tc>
        <w:tc>
          <w:tcPr>
            <w:tcW w:w="2927" w:type="dxa"/>
            <w:tcBorders>
              <w:bottom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新建居住区</w:t>
            </w:r>
          </w:p>
        </w:tc>
        <w:tc>
          <w:tcPr>
            <w:tcW w:w="3260" w:type="dxa"/>
            <w:tcBorders>
              <w:bottom w:val="single" w:color="auto" w:sz="12" w:space="0"/>
              <w:right w:val="single" w:color="auto" w:sz="12" w:space="0"/>
            </w:tcBorders>
            <w:shd w:val="clear" w:color="auto" w:fill="auto"/>
            <w:vAlign w:val="center"/>
          </w:tcPr>
          <w:p>
            <w:pPr>
              <w:pStyle w:val="21"/>
              <w:ind w:firstLine="0" w:firstLineChars="0"/>
              <w:jc w:val="center"/>
              <w:rPr>
                <w:sz w:val="18"/>
                <w:szCs w:val="18"/>
              </w:rPr>
            </w:pPr>
            <w:r>
              <w:rPr>
                <w:rFonts w:hint="eastAsia" w:hAnsi="宋体"/>
                <w:sz w:val="18"/>
                <w:szCs w:val="18"/>
              </w:rPr>
              <w:t>300</w:t>
            </w:r>
            <w:r>
              <w:rPr>
                <w:sz w:val="18"/>
                <w:szCs w:val="18"/>
              </w:rPr>
              <w:t> </w:t>
            </w:r>
            <w:r>
              <w:rPr>
                <w:rFonts w:hint="eastAsia"/>
                <w:sz w:val="18"/>
                <w:szCs w:val="18"/>
              </w:rPr>
              <w:t>m</w:t>
            </w:r>
            <w:r>
              <w:rPr>
                <w:rFonts w:hint="eastAsia" w:hAnsi="宋体"/>
                <w:sz w:val="18"/>
                <w:szCs w:val="18"/>
              </w:rPr>
              <w:t>～500</w:t>
            </w:r>
            <w:r>
              <w:rPr>
                <w:sz w:val="18"/>
                <w:szCs w:val="18"/>
              </w:rPr>
              <w:t> </w:t>
            </w:r>
            <w:r>
              <w:rPr>
                <w:rFonts w:hint="eastAsia"/>
                <w:sz w:val="18"/>
                <w:szCs w:val="18"/>
              </w:rPr>
              <w:t>m</w:t>
            </w:r>
          </w:p>
        </w:tc>
      </w:tr>
    </w:tbl>
    <w:p>
      <w:pPr>
        <w:pStyle w:val="21"/>
      </w:pPr>
    </w:p>
    <w:p>
      <w:pPr>
        <w:pStyle w:val="37"/>
      </w:pPr>
      <w:bookmarkStart w:id="77" w:name="_Toc115169975"/>
      <w:bookmarkStart w:id="78" w:name="_Toc115170042"/>
      <w:bookmarkStart w:id="79" w:name="_Toc115257559"/>
      <w:bookmarkStart w:id="80" w:name="_Toc117168598"/>
      <w:bookmarkStart w:id="81" w:name="_Toc129092902"/>
      <w:bookmarkStart w:id="82" w:name="_Toc116553080"/>
      <w:bookmarkStart w:id="83" w:name="_Toc129093086"/>
      <w:bookmarkStart w:id="84" w:name="_Toc115276282"/>
      <w:r>
        <w:rPr>
          <w:rFonts w:hint="eastAsia"/>
        </w:rPr>
        <w:t>设计要求</w:t>
      </w:r>
      <w:bookmarkEnd w:id="77"/>
      <w:bookmarkEnd w:id="78"/>
      <w:bookmarkEnd w:id="79"/>
      <w:bookmarkEnd w:id="80"/>
      <w:bookmarkEnd w:id="81"/>
      <w:bookmarkEnd w:id="82"/>
      <w:bookmarkEnd w:id="83"/>
      <w:bookmarkEnd w:id="84"/>
    </w:p>
    <w:p>
      <w:pPr>
        <w:pStyle w:val="41"/>
        <w:spacing w:before="156" w:after="156"/>
      </w:pPr>
      <w:r>
        <w:rPr>
          <w:rFonts w:hint="eastAsia"/>
        </w:rPr>
        <w:t>基本要求</w:t>
      </w:r>
    </w:p>
    <w:p>
      <w:pPr>
        <w:pStyle w:val="108"/>
      </w:pPr>
      <w:r>
        <w:rPr>
          <w:rFonts w:hint="eastAsia"/>
        </w:rPr>
        <w:t>驿站的整体工程设计，如建筑、防火、抗震、卫生及节能等，应符合CJJ 14的规定。</w:t>
      </w:r>
    </w:p>
    <w:p>
      <w:pPr>
        <w:pStyle w:val="108"/>
      </w:pPr>
      <w:r>
        <w:rPr>
          <w:rFonts w:hint="eastAsia"/>
        </w:rPr>
        <w:t>驿站的室外设计，如建筑造型、立面选材、色彩设计等，应与周边环境协调，注重美观和人文特色。</w:t>
      </w:r>
    </w:p>
    <w:p>
      <w:pPr>
        <w:pStyle w:val="108"/>
      </w:pPr>
      <w:r>
        <w:rPr>
          <w:rFonts w:hint="eastAsia"/>
        </w:rPr>
        <w:t>驿站的</w:t>
      </w:r>
      <w:r>
        <w:rPr>
          <w:rFonts w:hint="eastAsia" w:hAnsi="宋体"/>
        </w:rPr>
        <w:t>内部装饰，应简洁、大方、温馨、雅致。</w:t>
      </w:r>
    </w:p>
    <w:p>
      <w:pPr>
        <w:pStyle w:val="41"/>
        <w:spacing w:before="156" w:after="156"/>
      </w:pPr>
      <w:r>
        <w:rPr>
          <w:rFonts w:hint="eastAsia"/>
        </w:rPr>
        <w:t>分类与功能</w:t>
      </w:r>
    </w:p>
    <w:p>
      <w:pPr>
        <w:pStyle w:val="108"/>
      </w:pPr>
      <w:r>
        <w:rPr>
          <w:rFonts w:hint="eastAsia"/>
        </w:rPr>
        <w:t>根据人流量、周边环境及业态的不同，将驿站分为：A级驿站、B级驿站和C级驿站三种级别。</w:t>
      </w:r>
    </w:p>
    <w:p>
      <w:pPr>
        <w:pStyle w:val="108"/>
      </w:pPr>
      <w:r>
        <w:rPr>
          <w:rFonts w:hint="eastAsia"/>
        </w:rPr>
        <w:t>不同级别驿站的功能应符合表2的规定。</w:t>
      </w:r>
    </w:p>
    <w:p>
      <w:pPr>
        <w:pStyle w:val="122"/>
        <w:tabs>
          <w:tab w:val="clear" w:pos="360"/>
        </w:tabs>
      </w:pPr>
      <w:r>
        <w:rPr>
          <w:rFonts w:hint="eastAsia"/>
        </w:rPr>
        <w:t>不同级别驿站的功能</w:t>
      </w:r>
    </w:p>
    <w:tbl>
      <w:tblPr>
        <w:tblStyle w:val="29"/>
        <w:tblW w:w="94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8"/>
        <w:gridCol w:w="2446"/>
        <w:gridCol w:w="1701"/>
        <w:gridCol w:w="2127"/>
        <w:gridCol w:w="21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28" w:type="dxa"/>
            <w:vMerge w:val="restart"/>
            <w:tcBorders>
              <w:top w:val="single" w:color="auto" w:sz="12" w:space="0"/>
              <w:left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类别</w:t>
            </w:r>
          </w:p>
        </w:tc>
        <w:tc>
          <w:tcPr>
            <w:tcW w:w="2446" w:type="dxa"/>
            <w:vMerge w:val="restart"/>
            <w:tcBorders>
              <w:top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基础功能（公共厕所）</w:t>
            </w:r>
          </w:p>
        </w:tc>
        <w:tc>
          <w:tcPr>
            <w:tcW w:w="6025" w:type="dxa"/>
            <w:gridSpan w:val="3"/>
            <w:tcBorders>
              <w:top w:val="single" w:color="auto" w:sz="12" w:space="0"/>
              <w:bottom w:val="single" w:color="auto" w:sz="4" w:space="0"/>
              <w:right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其他服务功能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28" w:type="dxa"/>
            <w:vMerge w:val="continue"/>
            <w:tcBorders>
              <w:left w:val="single" w:color="auto" w:sz="12" w:space="0"/>
              <w:bottom w:val="single" w:color="auto" w:sz="12" w:space="0"/>
            </w:tcBorders>
            <w:shd w:val="clear" w:color="auto" w:fill="auto"/>
            <w:vAlign w:val="center"/>
          </w:tcPr>
          <w:p>
            <w:pPr>
              <w:pStyle w:val="21"/>
              <w:ind w:firstLine="0" w:firstLineChars="0"/>
              <w:jc w:val="center"/>
              <w:rPr>
                <w:sz w:val="18"/>
                <w:szCs w:val="18"/>
              </w:rPr>
            </w:pPr>
          </w:p>
        </w:tc>
        <w:tc>
          <w:tcPr>
            <w:tcW w:w="2446" w:type="dxa"/>
            <w:vMerge w:val="continue"/>
            <w:tcBorders>
              <w:bottom w:val="single" w:color="auto" w:sz="12" w:space="0"/>
            </w:tcBorders>
            <w:shd w:val="clear" w:color="auto" w:fill="auto"/>
            <w:vAlign w:val="center"/>
          </w:tcPr>
          <w:p>
            <w:pPr>
              <w:pStyle w:val="21"/>
              <w:ind w:firstLine="0" w:firstLineChars="0"/>
              <w:jc w:val="center"/>
              <w:rPr>
                <w:sz w:val="18"/>
                <w:szCs w:val="18"/>
              </w:rPr>
            </w:pPr>
          </w:p>
        </w:tc>
        <w:tc>
          <w:tcPr>
            <w:tcW w:w="1701" w:type="dxa"/>
            <w:tcBorders>
              <w:top w:val="single" w:color="auto" w:sz="4" w:space="0"/>
              <w:bottom w:val="single" w:color="auto" w:sz="12" w:space="0"/>
            </w:tcBorders>
            <w:shd w:val="clear" w:color="auto" w:fill="auto"/>
            <w:vAlign w:val="center"/>
          </w:tcPr>
          <w:p>
            <w:pPr>
              <w:pStyle w:val="21"/>
              <w:ind w:firstLine="0" w:firstLineChars="0"/>
              <w:jc w:val="center"/>
              <w:rPr>
                <w:sz w:val="18"/>
                <w:szCs w:val="18"/>
              </w:rPr>
            </w:pPr>
            <w:r>
              <w:rPr>
                <w:rFonts w:hint="eastAsia" w:hAnsi="宋体"/>
                <w:sz w:val="18"/>
                <w:szCs w:val="18"/>
              </w:rPr>
              <w:t>便民商业功能</w:t>
            </w:r>
          </w:p>
        </w:tc>
        <w:tc>
          <w:tcPr>
            <w:tcW w:w="2127" w:type="dxa"/>
            <w:tcBorders>
              <w:top w:val="single" w:color="auto" w:sz="4" w:space="0"/>
              <w:bottom w:val="single" w:color="auto" w:sz="12" w:space="0"/>
            </w:tcBorders>
            <w:shd w:val="clear" w:color="auto" w:fill="auto"/>
            <w:vAlign w:val="center"/>
          </w:tcPr>
          <w:p>
            <w:pPr>
              <w:pStyle w:val="21"/>
              <w:ind w:firstLine="0" w:firstLineChars="0"/>
              <w:jc w:val="center"/>
              <w:rPr>
                <w:sz w:val="18"/>
                <w:szCs w:val="18"/>
              </w:rPr>
            </w:pPr>
            <w:r>
              <w:rPr>
                <w:rFonts w:hint="eastAsia" w:hAnsi="宋体"/>
                <w:sz w:val="18"/>
                <w:szCs w:val="18"/>
              </w:rPr>
              <w:t>便民服务功能</w:t>
            </w:r>
          </w:p>
        </w:tc>
        <w:tc>
          <w:tcPr>
            <w:tcW w:w="2197" w:type="dxa"/>
            <w:tcBorders>
              <w:top w:val="single" w:color="auto" w:sz="4" w:space="0"/>
              <w:bottom w:val="single" w:color="auto" w:sz="12" w:space="0"/>
              <w:right w:val="single" w:color="auto" w:sz="12" w:space="0"/>
            </w:tcBorders>
            <w:shd w:val="clear" w:color="auto" w:fill="auto"/>
            <w:vAlign w:val="center"/>
          </w:tcPr>
          <w:p>
            <w:pPr>
              <w:pStyle w:val="21"/>
              <w:ind w:firstLine="0" w:firstLineChars="0"/>
              <w:jc w:val="center"/>
              <w:rPr>
                <w:sz w:val="18"/>
                <w:szCs w:val="18"/>
              </w:rPr>
            </w:pPr>
            <w:r>
              <w:rPr>
                <w:rFonts w:hint="eastAsia" w:hAnsi="宋体"/>
                <w:sz w:val="18"/>
                <w:szCs w:val="18"/>
              </w:rPr>
              <w:t>公共服务功能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28" w:type="dxa"/>
            <w:tcBorders>
              <w:top w:val="single" w:color="auto" w:sz="12" w:space="0"/>
              <w:left w:val="single" w:color="auto" w:sz="12" w:space="0"/>
            </w:tcBorders>
            <w:shd w:val="clear" w:color="auto" w:fill="auto"/>
            <w:vAlign w:val="center"/>
          </w:tcPr>
          <w:p>
            <w:pPr>
              <w:pStyle w:val="21"/>
              <w:spacing w:before="62" w:beforeLines="20" w:after="62" w:afterLines="20"/>
              <w:ind w:firstLine="0" w:firstLineChars="0"/>
              <w:jc w:val="center"/>
              <w:rPr>
                <w:sz w:val="18"/>
                <w:szCs w:val="18"/>
              </w:rPr>
            </w:pPr>
            <w:r>
              <w:rPr>
                <w:rFonts w:hint="eastAsia"/>
                <w:sz w:val="18"/>
                <w:szCs w:val="18"/>
              </w:rPr>
              <w:t>A级驿站</w:t>
            </w:r>
          </w:p>
        </w:tc>
        <w:tc>
          <w:tcPr>
            <w:tcW w:w="2446" w:type="dxa"/>
            <w:tcBorders>
              <w:top w:val="single" w:color="auto" w:sz="12" w:space="0"/>
            </w:tcBorders>
            <w:shd w:val="clear" w:color="auto" w:fill="auto"/>
            <w:vAlign w:val="center"/>
          </w:tcPr>
          <w:p>
            <w:pPr>
              <w:pStyle w:val="21"/>
              <w:spacing w:before="62" w:beforeLines="20" w:after="62" w:afterLines="20"/>
              <w:ind w:firstLine="0" w:firstLineChars="0"/>
              <w:jc w:val="left"/>
              <w:rPr>
                <w:sz w:val="18"/>
                <w:szCs w:val="18"/>
              </w:rPr>
            </w:pPr>
            <w:r>
              <w:rPr>
                <w:rFonts w:hint="eastAsia"/>
                <w:sz w:val="18"/>
                <w:szCs w:val="18"/>
              </w:rPr>
              <w:t>具备卫生间、第三卫生间、母婴室、盥洗间、工具间、管理间、无障碍设施及统一的标识系统</w:t>
            </w:r>
          </w:p>
        </w:tc>
        <w:tc>
          <w:tcPr>
            <w:tcW w:w="1701" w:type="dxa"/>
            <w:tcBorders>
              <w:top w:val="single" w:color="auto" w:sz="12" w:space="0"/>
            </w:tcBorders>
            <w:shd w:val="clear" w:color="auto" w:fill="auto"/>
            <w:vAlign w:val="center"/>
          </w:tcPr>
          <w:p>
            <w:pPr>
              <w:pStyle w:val="21"/>
              <w:spacing w:before="62" w:beforeLines="20" w:after="62" w:afterLines="20"/>
              <w:ind w:firstLine="0" w:firstLineChars="0"/>
              <w:jc w:val="left"/>
              <w:rPr>
                <w:sz w:val="18"/>
                <w:szCs w:val="18"/>
              </w:rPr>
            </w:pPr>
            <w:r>
              <w:rPr>
                <w:rFonts w:hint="eastAsia"/>
                <w:sz w:val="18"/>
                <w:szCs w:val="18"/>
              </w:rPr>
              <w:t>售卖机、便利店、充电设施、广告集合地、咖啡室</w:t>
            </w:r>
          </w:p>
        </w:tc>
        <w:tc>
          <w:tcPr>
            <w:tcW w:w="2127" w:type="dxa"/>
            <w:tcBorders>
              <w:top w:val="single" w:color="auto" w:sz="12" w:space="0"/>
            </w:tcBorders>
            <w:shd w:val="clear" w:color="auto" w:fill="auto"/>
            <w:vAlign w:val="center"/>
          </w:tcPr>
          <w:p>
            <w:pPr>
              <w:pStyle w:val="21"/>
              <w:spacing w:before="62" w:beforeLines="20" w:after="62" w:afterLines="20"/>
              <w:ind w:firstLine="0" w:firstLineChars="0"/>
              <w:jc w:val="left"/>
              <w:rPr>
                <w:sz w:val="18"/>
                <w:szCs w:val="18"/>
              </w:rPr>
            </w:pPr>
            <w:r>
              <w:rPr>
                <w:rFonts w:hint="eastAsia"/>
                <w:sz w:val="18"/>
                <w:szCs w:val="18"/>
              </w:rPr>
              <w:t>无线网络、直饮水机、急救医药箱、手机充电宝、共享雨伞、图书漂流角、称重仪、擦鞋机</w:t>
            </w:r>
          </w:p>
        </w:tc>
        <w:tc>
          <w:tcPr>
            <w:tcW w:w="2197" w:type="dxa"/>
            <w:tcBorders>
              <w:top w:val="single" w:color="auto" w:sz="12" w:space="0"/>
              <w:right w:val="single" w:color="auto" w:sz="12" w:space="0"/>
            </w:tcBorders>
            <w:shd w:val="clear" w:color="auto" w:fill="auto"/>
            <w:vAlign w:val="center"/>
          </w:tcPr>
          <w:p>
            <w:pPr>
              <w:pStyle w:val="21"/>
              <w:spacing w:before="62" w:beforeLines="20" w:after="62" w:afterLines="20"/>
              <w:ind w:firstLine="0" w:firstLineChars="0"/>
              <w:jc w:val="left"/>
              <w:rPr>
                <w:sz w:val="18"/>
                <w:szCs w:val="18"/>
              </w:rPr>
            </w:pPr>
            <w:r>
              <w:rPr>
                <w:rFonts w:hint="eastAsia"/>
                <w:sz w:val="18"/>
                <w:szCs w:val="18"/>
              </w:rPr>
              <w:t>城管执法岗亭、户外劳动者港湾、青年之家、党群服务站、献血屋、走失儿童老人临时联络站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28" w:type="dxa"/>
            <w:tcBorders>
              <w:left w:val="single" w:color="auto" w:sz="12" w:space="0"/>
            </w:tcBorders>
            <w:shd w:val="clear" w:color="auto" w:fill="auto"/>
            <w:vAlign w:val="center"/>
          </w:tcPr>
          <w:p>
            <w:pPr>
              <w:pStyle w:val="21"/>
              <w:spacing w:before="62" w:beforeLines="20" w:after="62" w:afterLines="20"/>
              <w:ind w:firstLine="0" w:firstLineChars="0"/>
              <w:jc w:val="center"/>
              <w:rPr>
                <w:sz w:val="18"/>
                <w:szCs w:val="18"/>
              </w:rPr>
            </w:pPr>
            <w:r>
              <w:rPr>
                <w:rFonts w:hint="eastAsia"/>
                <w:sz w:val="18"/>
                <w:szCs w:val="18"/>
              </w:rPr>
              <w:t>B级驿站</w:t>
            </w:r>
          </w:p>
        </w:tc>
        <w:tc>
          <w:tcPr>
            <w:tcW w:w="2446" w:type="dxa"/>
            <w:shd w:val="clear" w:color="auto" w:fill="auto"/>
            <w:vAlign w:val="center"/>
          </w:tcPr>
          <w:p>
            <w:pPr>
              <w:pStyle w:val="21"/>
              <w:spacing w:before="62" w:beforeLines="20" w:after="62" w:afterLines="20"/>
              <w:ind w:firstLine="0" w:firstLineChars="0"/>
              <w:jc w:val="left"/>
              <w:rPr>
                <w:sz w:val="18"/>
                <w:szCs w:val="18"/>
              </w:rPr>
            </w:pPr>
            <w:r>
              <w:rPr>
                <w:rFonts w:hint="eastAsia"/>
                <w:sz w:val="18"/>
                <w:szCs w:val="18"/>
              </w:rPr>
              <w:t>具备卫生间、第三卫生间、盥洗间、工具间、管理间、无障碍设施及统一的标识系统</w:t>
            </w:r>
          </w:p>
        </w:tc>
        <w:tc>
          <w:tcPr>
            <w:tcW w:w="1701" w:type="dxa"/>
            <w:shd w:val="clear" w:color="auto" w:fill="auto"/>
            <w:vAlign w:val="center"/>
          </w:tcPr>
          <w:p>
            <w:pPr>
              <w:pStyle w:val="21"/>
              <w:spacing w:before="62" w:beforeLines="20" w:after="62" w:afterLines="20"/>
              <w:ind w:firstLine="0" w:firstLineChars="0"/>
              <w:jc w:val="left"/>
              <w:rPr>
                <w:sz w:val="18"/>
                <w:szCs w:val="18"/>
              </w:rPr>
            </w:pPr>
            <w:r>
              <w:rPr>
                <w:rFonts w:hint="eastAsia"/>
                <w:sz w:val="18"/>
                <w:szCs w:val="18"/>
              </w:rPr>
              <w:t>售卖机、便利店、充电设施、广告集合地、咖啡室</w:t>
            </w:r>
          </w:p>
        </w:tc>
        <w:tc>
          <w:tcPr>
            <w:tcW w:w="2127" w:type="dxa"/>
            <w:shd w:val="clear" w:color="auto" w:fill="auto"/>
            <w:vAlign w:val="center"/>
          </w:tcPr>
          <w:p>
            <w:pPr>
              <w:pStyle w:val="21"/>
              <w:spacing w:before="62" w:beforeLines="20" w:after="62" w:afterLines="20"/>
              <w:ind w:firstLine="0" w:firstLineChars="0"/>
              <w:jc w:val="left"/>
              <w:rPr>
                <w:sz w:val="18"/>
                <w:szCs w:val="18"/>
              </w:rPr>
            </w:pPr>
            <w:r>
              <w:rPr>
                <w:rFonts w:hint="eastAsia"/>
                <w:sz w:val="18"/>
                <w:szCs w:val="18"/>
              </w:rPr>
              <w:t>无线网络、直饮水机、急救医药箱、手机充电宝、共享雨伞、图书漂流角、称重仪、擦鞋机</w:t>
            </w:r>
          </w:p>
        </w:tc>
        <w:tc>
          <w:tcPr>
            <w:tcW w:w="2197" w:type="dxa"/>
            <w:tcBorders>
              <w:right w:val="single" w:color="auto" w:sz="12" w:space="0"/>
            </w:tcBorders>
            <w:shd w:val="clear" w:color="auto" w:fill="auto"/>
            <w:vAlign w:val="center"/>
          </w:tcPr>
          <w:p>
            <w:pPr>
              <w:pStyle w:val="21"/>
              <w:spacing w:before="62" w:beforeLines="20" w:after="62" w:afterLines="20"/>
              <w:ind w:firstLine="0" w:firstLineChars="0"/>
              <w:jc w:val="center"/>
              <w:rPr>
                <w:sz w:val="18"/>
                <w:szCs w:val="18"/>
              </w:rPr>
            </w:pPr>
            <w:r>
              <w:rPr>
                <w:rFonts w:hint="eastAsia"/>
                <w:sz w:val="18"/>
                <w:szCs w:val="18"/>
              </w:rPr>
              <w:t>城管执法岗亭、户外劳动者港湾、青年之家、党群服务站、献血屋、走失儿童老人临时联络站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28" w:type="dxa"/>
            <w:tcBorders>
              <w:left w:val="single" w:color="auto" w:sz="12" w:space="0"/>
              <w:bottom w:val="single" w:color="auto" w:sz="12" w:space="0"/>
            </w:tcBorders>
            <w:shd w:val="clear" w:color="auto" w:fill="auto"/>
            <w:vAlign w:val="center"/>
          </w:tcPr>
          <w:p>
            <w:pPr>
              <w:pStyle w:val="21"/>
              <w:spacing w:before="62" w:beforeLines="20" w:after="62" w:afterLines="20"/>
              <w:ind w:firstLine="0" w:firstLineChars="0"/>
              <w:jc w:val="center"/>
              <w:rPr>
                <w:sz w:val="18"/>
                <w:szCs w:val="18"/>
              </w:rPr>
            </w:pPr>
            <w:r>
              <w:rPr>
                <w:rFonts w:hint="eastAsia"/>
                <w:sz w:val="18"/>
                <w:szCs w:val="18"/>
              </w:rPr>
              <w:t>C级驿站</w:t>
            </w:r>
          </w:p>
        </w:tc>
        <w:tc>
          <w:tcPr>
            <w:tcW w:w="2446" w:type="dxa"/>
            <w:tcBorders>
              <w:bottom w:val="single" w:color="auto" w:sz="12" w:space="0"/>
            </w:tcBorders>
            <w:shd w:val="clear" w:color="auto" w:fill="auto"/>
            <w:vAlign w:val="center"/>
          </w:tcPr>
          <w:p>
            <w:pPr>
              <w:pStyle w:val="21"/>
              <w:spacing w:before="62" w:beforeLines="20" w:after="62" w:afterLines="20"/>
              <w:ind w:firstLine="0" w:firstLineChars="0"/>
              <w:jc w:val="left"/>
              <w:rPr>
                <w:sz w:val="18"/>
                <w:szCs w:val="18"/>
              </w:rPr>
            </w:pPr>
            <w:r>
              <w:rPr>
                <w:rFonts w:hint="eastAsia"/>
                <w:sz w:val="18"/>
                <w:szCs w:val="18"/>
              </w:rPr>
              <w:t>具备卫生间、盥洗间、工具间、管理间、无障碍设施及统一的标识系统</w:t>
            </w:r>
          </w:p>
        </w:tc>
        <w:tc>
          <w:tcPr>
            <w:tcW w:w="1701" w:type="dxa"/>
            <w:tcBorders>
              <w:bottom w:val="single" w:color="auto" w:sz="12" w:space="0"/>
            </w:tcBorders>
            <w:shd w:val="clear" w:color="auto" w:fill="auto"/>
            <w:vAlign w:val="center"/>
          </w:tcPr>
          <w:p>
            <w:pPr>
              <w:pStyle w:val="21"/>
              <w:spacing w:before="62" w:beforeLines="20" w:after="62" w:afterLines="20"/>
              <w:ind w:firstLine="0" w:firstLineChars="0"/>
              <w:jc w:val="center"/>
              <w:rPr>
                <w:sz w:val="18"/>
                <w:szCs w:val="18"/>
              </w:rPr>
            </w:pPr>
            <w:r>
              <w:rPr>
                <w:rFonts w:hint="eastAsia"/>
                <w:sz w:val="18"/>
                <w:szCs w:val="18"/>
              </w:rPr>
              <w:t>售卖机</w:t>
            </w:r>
          </w:p>
        </w:tc>
        <w:tc>
          <w:tcPr>
            <w:tcW w:w="2127" w:type="dxa"/>
            <w:tcBorders>
              <w:bottom w:val="single" w:color="auto" w:sz="12" w:space="0"/>
            </w:tcBorders>
            <w:shd w:val="clear" w:color="auto" w:fill="auto"/>
            <w:vAlign w:val="center"/>
          </w:tcPr>
          <w:p>
            <w:pPr>
              <w:pStyle w:val="21"/>
              <w:spacing w:before="62" w:beforeLines="20" w:after="62" w:afterLines="20"/>
              <w:ind w:firstLine="0" w:firstLineChars="0"/>
              <w:jc w:val="center"/>
              <w:rPr>
                <w:sz w:val="18"/>
                <w:szCs w:val="18"/>
              </w:rPr>
            </w:pPr>
            <w:r>
              <w:rPr>
                <w:rFonts w:hint="eastAsia"/>
                <w:sz w:val="18"/>
                <w:szCs w:val="18"/>
              </w:rPr>
              <w:t>不具备</w:t>
            </w:r>
          </w:p>
        </w:tc>
        <w:tc>
          <w:tcPr>
            <w:tcW w:w="2197" w:type="dxa"/>
            <w:tcBorders>
              <w:bottom w:val="single" w:color="auto" w:sz="12" w:space="0"/>
              <w:right w:val="single" w:color="auto" w:sz="12" w:space="0"/>
            </w:tcBorders>
            <w:shd w:val="clear" w:color="auto" w:fill="auto"/>
            <w:vAlign w:val="center"/>
          </w:tcPr>
          <w:p>
            <w:pPr>
              <w:pStyle w:val="21"/>
              <w:spacing w:before="62" w:beforeLines="20" w:after="62" w:afterLines="20"/>
              <w:ind w:firstLine="0" w:firstLineChars="0"/>
              <w:jc w:val="center"/>
              <w:rPr>
                <w:sz w:val="18"/>
                <w:szCs w:val="18"/>
              </w:rPr>
            </w:pPr>
            <w:r>
              <w:rPr>
                <w:rFonts w:hint="eastAsia"/>
                <w:sz w:val="18"/>
                <w:szCs w:val="18"/>
              </w:rPr>
              <w:t>不具备</w:t>
            </w:r>
          </w:p>
        </w:tc>
      </w:tr>
    </w:tbl>
    <w:p>
      <w:pPr>
        <w:pStyle w:val="41"/>
        <w:spacing w:before="156" w:after="156"/>
      </w:pPr>
      <w:r>
        <w:rPr>
          <w:rFonts w:hint="eastAsia"/>
        </w:rPr>
        <w:t>建筑设计</w:t>
      </w:r>
    </w:p>
    <w:p>
      <w:pPr>
        <w:pStyle w:val="46"/>
        <w:spacing w:before="156" w:after="156"/>
      </w:pPr>
      <w:r>
        <w:rPr>
          <w:rFonts w:hint="eastAsia"/>
        </w:rPr>
        <w:t>面积指标</w:t>
      </w:r>
    </w:p>
    <w:p>
      <w:pPr>
        <w:pStyle w:val="113"/>
      </w:pPr>
      <w:r>
        <w:rPr>
          <w:rFonts w:hint="eastAsia"/>
        </w:rPr>
        <w:t>不同级别驿站的建筑面积应符合表3的规定。</w:t>
      </w:r>
    </w:p>
    <w:p>
      <w:pPr>
        <w:pStyle w:val="122"/>
        <w:numPr>
          <w:ilvl w:val="0"/>
          <w:numId w:val="10"/>
        </w:numPr>
      </w:pPr>
      <w:r>
        <w:rPr>
          <w:rFonts w:hint="eastAsia"/>
        </w:rPr>
        <w:t>不同级别驿站的面积</w:t>
      </w:r>
    </w:p>
    <w:tbl>
      <w:tblPr>
        <w:tblStyle w:val="29"/>
        <w:tblW w:w="93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86"/>
        <w:gridCol w:w="2692"/>
        <w:gridCol w:w="2339"/>
        <w:gridCol w:w="23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86" w:type="dxa"/>
            <w:tcBorders>
              <w:top w:val="single" w:color="auto" w:sz="12" w:space="0"/>
              <w:left w:val="single" w:color="auto" w:sz="12" w:space="0"/>
              <w:bottom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类别</w:t>
            </w:r>
          </w:p>
        </w:tc>
        <w:tc>
          <w:tcPr>
            <w:tcW w:w="2692" w:type="dxa"/>
            <w:tcBorders>
              <w:top w:val="single" w:color="auto" w:sz="12" w:space="0"/>
              <w:bottom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功能分区</w:t>
            </w:r>
          </w:p>
        </w:tc>
        <w:tc>
          <w:tcPr>
            <w:tcW w:w="2339" w:type="dxa"/>
            <w:tcBorders>
              <w:top w:val="single" w:color="auto" w:sz="12" w:space="0"/>
              <w:bottom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建筑面积占比</w:t>
            </w:r>
          </w:p>
          <w:p>
            <w:pPr>
              <w:pStyle w:val="21"/>
              <w:ind w:firstLine="0" w:firstLineChars="0"/>
              <w:jc w:val="center"/>
              <w:rPr>
                <w:sz w:val="18"/>
                <w:szCs w:val="18"/>
              </w:rPr>
            </w:pPr>
            <w:r>
              <w:rPr>
                <w:rFonts w:hint="eastAsia"/>
                <w:sz w:val="18"/>
                <w:szCs w:val="18"/>
              </w:rPr>
              <w:t>%</w:t>
            </w:r>
          </w:p>
        </w:tc>
        <w:tc>
          <w:tcPr>
            <w:tcW w:w="2339" w:type="dxa"/>
            <w:tcBorders>
              <w:top w:val="single" w:color="auto" w:sz="12" w:space="0"/>
              <w:bottom w:val="single" w:color="auto" w:sz="12" w:space="0"/>
              <w:right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总建筑面积</w:t>
            </w:r>
          </w:p>
          <w:p>
            <w:pPr>
              <w:pStyle w:val="21"/>
              <w:ind w:firstLine="0" w:firstLineChars="0"/>
              <w:jc w:val="center"/>
              <w:rPr>
                <w:sz w:val="18"/>
                <w:szCs w:val="18"/>
              </w:rPr>
            </w:pPr>
            <w:r>
              <w:rPr>
                <w:rFonts w:hint="eastAsia"/>
                <w:sz w:val="18"/>
                <w:szCs w:val="18"/>
              </w:rPr>
              <w:t>m</w:t>
            </w:r>
            <w:r>
              <w:rPr>
                <w:rFonts w:hint="eastAsia"/>
                <w:sz w:val="18"/>
                <w:szCs w:val="18"/>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86" w:type="dxa"/>
            <w:vMerge w:val="restart"/>
            <w:tcBorders>
              <w:top w:val="single" w:color="auto" w:sz="12" w:space="0"/>
              <w:left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A级驿站</w:t>
            </w:r>
          </w:p>
        </w:tc>
        <w:tc>
          <w:tcPr>
            <w:tcW w:w="2692" w:type="dxa"/>
            <w:tcBorders>
              <w:top w:val="single" w:color="auto" w:sz="12" w:space="0"/>
            </w:tcBorders>
            <w:shd w:val="clear" w:color="auto" w:fill="auto"/>
            <w:vAlign w:val="center"/>
          </w:tcPr>
          <w:p>
            <w:pPr>
              <w:jc w:val="center"/>
              <w:rPr>
                <w:rFonts w:ascii="宋体"/>
                <w:sz w:val="18"/>
              </w:rPr>
            </w:pPr>
            <w:r>
              <w:rPr>
                <w:rFonts w:hint="eastAsia" w:ascii="宋体"/>
                <w:sz w:val="18"/>
              </w:rPr>
              <w:t>基础功能</w:t>
            </w:r>
          </w:p>
        </w:tc>
        <w:tc>
          <w:tcPr>
            <w:tcW w:w="2339" w:type="dxa"/>
            <w:tcBorders>
              <w:top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≥50</w:t>
            </w:r>
          </w:p>
        </w:tc>
        <w:tc>
          <w:tcPr>
            <w:tcW w:w="2339" w:type="dxa"/>
            <w:vMerge w:val="restart"/>
            <w:tcBorders>
              <w:top w:val="single" w:color="auto" w:sz="12" w:space="0"/>
              <w:right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80～100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86" w:type="dxa"/>
            <w:vMerge w:val="continue"/>
            <w:tcBorders>
              <w:left w:val="single" w:color="auto" w:sz="12" w:space="0"/>
            </w:tcBorders>
            <w:shd w:val="clear" w:color="auto" w:fill="auto"/>
            <w:vAlign w:val="center"/>
          </w:tcPr>
          <w:p>
            <w:pPr>
              <w:pStyle w:val="21"/>
              <w:ind w:firstLine="0" w:firstLineChars="0"/>
              <w:jc w:val="center"/>
              <w:rPr>
                <w:sz w:val="18"/>
                <w:szCs w:val="18"/>
              </w:rPr>
            </w:pPr>
          </w:p>
        </w:tc>
        <w:tc>
          <w:tcPr>
            <w:tcW w:w="2692" w:type="dxa"/>
            <w:shd w:val="clear" w:color="auto" w:fill="auto"/>
            <w:vAlign w:val="center"/>
          </w:tcPr>
          <w:p>
            <w:pPr>
              <w:pStyle w:val="21"/>
              <w:ind w:firstLine="0" w:firstLineChars="0"/>
              <w:jc w:val="center"/>
              <w:rPr>
                <w:rFonts w:hAnsi="宋体"/>
                <w:sz w:val="18"/>
                <w:szCs w:val="18"/>
              </w:rPr>
            </w:pPr>
            <w:r>
              <w:rPr>
                <w:rFonts w:hint="eastAsia" w:hAnsi="宋体"/>
                <w:sz w:val="18"/>
                <w:szCs w:val="18"/>
              </w:rPr>
              <w:t>便民服务功能</w:t>
            </w:r>
          </w:p>
        </w:tc>
        <w:tc>
          <w:tcPr>
            <w:tcW w:w="2339" w:type="dxa"/>
            <w:vMerge w:val="restart"/>
            <w:shd w:val="clear" w:color="auto" w:fill="auto"/>
            <w:vAlign w:val="center"/>
          </w:tcPr>
          <w:p>
            <w:pPr>
              <w:pStyle w:val="21"/>
              <w:ind w:firstLine="0" w:firstLineChars="0"/>
              <w:jc w:val="center"/>
              <w:rPr>
                <w:sz w:val="18"/>
                <w:szCs w:val="18"/>
              </w:rPr>
            </w:pPr>
            <w:r>
              <w:rPr>
                <w:rFonts w:hint="eastAsia"/>
                <w:sz w:val="18"/>
                <w:szCs w:val="18"/>
              </w:rPr>
              <w:t>＜50</w:t>
            </w:r>
          </w:p>
        </w:tc>
        <w:tc>
          <w:tcPr>
            <w:tcW w:w="2339" w:type="dxa"/>
            <w:vMerge w:val="continue"/>
            <w:tcBorders>
              <w:right w:val="single" w:color="auto" w:sz="12" w:space="0"/>
            </w:tcBorders>
            <w:shd w:val="clear" w:color="auto" w:fill="auto"/>
            <w:vAlign w:val="center"/>
          </w:tcPr>
          <w:p>
            <w:pPr>
              <w:pStyle w:val="21"/>
              <w:ind w:firstLine="0" w:firstLineChars="0"/>
              <w:jc w:val="center"/>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86" w:type="dxa"/>
            <w:vMerge w:val="continue"/>
            <w:tcBorders>
              <w:left w:val="single" w:color="auto" w:sz="12" w:space="0"/>
            </w:tcBorders>
            <w:shd w:val="clear" w:color="auto" w:fill="auto"/>
            <w:vAlign w:val="center"/>
          </w:tcPr>
          <w:p>
            <w:pPr>
              <w:pStyle w:val="21"/>
              <w:ind w:firstLine="0" w:firstLineChars="0"/>
              <w:jc w:val="center"/>
              <w:rPr>
                <w:sz w:val="18"/>
                <w:szCs w:val="18"/>
              </w:rPr>
            </w:pPr>
          </w:p>
        </w:tc>
        <w:tc>
          <w:tcPr>
            <w:tcW w:w="2692" w:type="dxa"/>
            <w:shd w:val="clear" w:color="auto" w:fill="auto"/>
            <w:vAlign w:val="center"/>
          </w:tcPr>
          <w:p>
            <w:pPr>
              <w:pStyle w:val="21"/>
              <w:ind w:firstLine="0" w:firstLineChars="0"/>
              <w:jc w:val="center"/>
              <w:rPr>
                <w:rFonts w:hAnsi="宋体"/>
                <w:sz w:val="18"/>
                <w:szCs w:val="18"/>
              </w:rPr>
            </w:pPr>
            <w:r>
              <w:rPr>
                <w:rFonts w:hint="eastAsia" w:hAnsi="宋体"/>
                <w:sz w:val="18"/>
                <w:szCs w:val="18"/>
              </w:rPr>
              <w:t>便民商业功能</w:t>
            </w:r>
          </w:p>
        </w:tc>
        <w:tc>
          <w:tcPr>
            <w:tcW w:w="2339" w:type="dxa"/>
            <w:vMerge w:val="continue"/>
            <w:shd w:val="clear" w:color="auto" w:fill="auto"/>
            <w:vAlign w:val="center"/>
          </w:tcPr>
          <w:p>
            <w:pPr>
              <w:pStyle w:val="21"/>
              <w:ind w:firstLine="0" w:firstLineChars="0"/>
              <w:jc w:val="center"/>
              <w:rPr>
                <w:sz w:val="18"/>
                <w:szCs w:val="18"/>
              </w:rPr>
            </w:pPr>
          </w:p>
        </w:tc>
        <w:tc>
          <w:tcPr>
            <w:tcW w:w="2339" w:type="dxa"/>
            <w:vMerge w:val="continue"/>
            <w:tcBorders>
              <w:right w:val="single" w:color="auto" w:sz="12" w:space="0"/>
            </w:tcBorders>
            <w:shd w:val="clear" w:color="auto" w:fill="auto"/>
            <w:vAlign w:val="center"/>
          </w:tcPr>
          <w:p>
            <w:pPr>
              <w:pStyle w:val="21"/>
              <w:ind w:firstLine="0" w:firstLineChars="0"/>
              <w:jc w:val="center"/>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86" w:type="dxa"/>
            <w:vMerge w:val="continue"/>
            <w:tcBorders>
              <w:left w:val="single" w:color="auto" w:sz="12" w:space="0"/>
            </w:tcBorders>
            <w:shd w:val="clear" w:color="auto" w:fill="auto"/>
            <w:vAlign w:val="center"/>
          </w:tcPr>
          <w:p>
            <w:pPr>
              <w:pStyle w:val="21"/>
              <w:ind w:firstLine="0" w:firstLineChars="0"/>
              <w:jc w:val="center"/>
              <w:rPr>
                <w:sz w:val="18"/>
                <w:szCs w:val="18"/>
              </w:rPr>
            </w:pPr>
          </w:p>
        </w:tc>
        <w:tc>
          <w:tcPr>
            <w:tcW w:w="2692" w:type="dxa"/>
            <w:shd w:val="clear" w:color="auto" w:fill="auto"/>
            <w:vAlign w:val="center"/>
          </w:tcPr>
          <w:p>
            <w:pPr>
              <w:jc w:val="center"/>
              <w:rPr>
                <w:rFonts w:ascii="宋体"/>
                <w:sz w:val="18"/>
              </w:rPr>
            </w:pPr>
            <w:r>
              <w:rPr>
                <w:rFonts w:hint="eastAsia" w:ascii="宋体" w:hAnsi="宋体"/>
                <w:sz w:val="18"/>
                <w:szCs w:val="18"/>
              </w:rPr>
              <w:t>公共服务功能</w:t>
            </w:r>
          </w:p>
        </w:tc>
        <w:tc>
          <w:tcPr>
            <w:tcW w:w="2339" w:type="dxa"/>
            <w:vMerge w:val="continue"/>
            <w:shd w:val="clear" w:color="auto" w:fill="auto"/>
            <w:vAlign w:val="center"/>
          </w:tcPr>
          <w:p>
            <w:pPr>
              <w:pStyle w:val="21"/>
              <w:ind w:firstLine="0" w:firstLineChars="0"/>
              <w:jc w:val="center"/>
              <w:rPr>
                <w:sz w:val="18"/>
                <w:szCs w:val="18"/>
              </w:rPr>
            </w:pPr>
          </w:p>
        </w:tc>
        <w:tc>
          <w:tcPr>
            <w:tcW w:w="2339" w:type="dxa"/>
            <w:vMerge w:val="continue"/>
            <w:tcBorders>
              <w:right w:val="single" w:color="auto" w:sz="12" w:space="0"/>
            </w:tcBorders>
            <w:shd w:val="clear" w:color="auto" w:fill="auto"/>
            <w:vAlign w:val="center"/>
          </w:tcPr>
          <w:p>
            <w:pPr>
              <w:pStyle w:val="21"/>
              <w:ind w:firstLine="0" w:firstLineChars="0"/>
              <w:jc w:val="center"/>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86" w:type="dxa"/>
            <w:vMerge w:val="restart"/>
            <w:tcBorders>
              <w:left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B级驿站</w:t>
            </w:r>
          </w:p>
        </w:tc>
        <w:tc>
          <w:tcPr>
            <w:tcW w:w="2692" w:type="dxa"/>
            <w:shd w:val="clear" w:color="auto" w:fill="auto"/>
            <w:vAlign w:val="center"/>
          </w:tcPr>
          <w:p>
            <w:pPr>
              <w:jc w:val="center"/>
              <w:rPr>
                <w:rFonts w:ascii="宋体" w:hAnsi="宋体"/>
                <w:sz w:val="18"/>
                <w:szCs w:val="18"/>
              </w:rPr>
            </w:pPr>
            <w:r>
              <w:rPr>
                <w:rFonts w:hint="eastAsia" w:ascii="宋体"/>
                <w:sz w:val="18"/>
              </w:rPr>
              <w:t>基础功能</w:t>
            </w:r>
          </w:p>
        </w:tc>
        <w:tc>
          <w:tcPr>
            <w:tcW w:w="2339" w:type="dxa"/>
            <w:shd w:val="clear" w:color="auto" w:fill="auto"/>
            <w:vAlign w:val="center"/>
          </w:tcPr>
          <w:p>
            <w:pPr>
              <w:pStyle w:val="21"/>
              <w:ind w:firstLine="0" w:firstLineChars="0"/>
              <w:jc w:val="center"/>
              <w:rPr>
                <w:sz w:val="18"/>
                <w:szCs w:val="18"/>
              </w:rPr>
            </w:pPr>
            <w:r>
              <w:rPr>
                <w:rFonts w:hint="eastAsia"/>
                <w:sz w:val="18"/>
                <w:szCs w:val="18"/>
              </w:rPr>
              <w:t>≥50</w:t>
            </w:r>
          </w:p>
        </w:tc>
        <w:tc>
          <w:tcPr>
            <w:tcW w:w="2339" w:type="dxa"/>
            <w:vMerge w:val="restart"/>
            <w:tcBorders>
              <w:right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60～80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86" w:type="dxa"/>
            <w:vMerge w:val="continue"/>
            <w:tcBorders>
              <w:left w:val="single" w:color="auto" w:sz="12" w:space="0"/>
            </w:tcBorders>
            <w:shd w:val="clear" w:color="auto" w:fill="auto"/>
            <w:vAlign w:val="center"/>
          </w:tcPr>
          <w:p>
            <w:pPr>
              <w:pStyle w:val="21"/>
              <w:ind w:firstLine="0" w:firstLineChars="0"/>
              <w:jc w:val="center"/>
              <w:rPr>
                <w:sz w:val="18"/>
                <w:szCs w:val="18"/>
              </w:rPr>
            </w:pPr>
          </w:p>
        </w:tc>
        <w:tc>
          <w:tcPr>
            <w:tcW w:w="2692" w:type="dxa"/>
            <w:shd w:val="clear" w:color="auto" w:fill="auto"/>
            <w:vAlign w:val="center"/>
          </w:tcPr>
          <w:p>
            <w:pPr>
              <w:pStyle w:val="21"/>
              <w:ind w:firstLine="0" w:firstLineChars="0"/>
              <w:jc w:val="center"/>
              <w:rPr>
                <w:rFonts w:hAnsi="宋体"/>
                <w:sz w:val="18"/>
                <w:szCs w:val="18"/>
              </w:rPr>
            </w:pPr>
            <w:r>
              <w:rPr>
                <w:rFonts w:hint="eastAsia" w:hAnsi="宋体"/>
                <w:sz w:val="18"/>
                <w:szCs w:val="18"/>
              </w:rPr>
              <w:t>便民服务功能</w:t>
            </w:r>
          </w:p>
        </w:tc>
        <w:tc>
          <w:tcPr>
            <w:tcW w:w="2339" w:type="dxa"/>
            <w:vMerge w:val="restart"/>
            <w:shd w:val="clear" w:color="auto" w:fill="auto"/>
            <w:vAlign w:val="center"/>
          </w:tcPr>
          <w:p>
            <w:pPr>
              <w:pStyle w:val="21"/>
              <w:ind w:firstLine="0" w:firstLineChars="0"/>
              <w:jc w:val="center"/>
              <w:rPr>
                <w:sz w:val="18"/>
                <w:szCs w:val="18"/>
              </w:rPr>
            </w:pPr>
            <w:r>
              <w:rPr>
                <w:rFonts w:hint="eastAsia"/>
                <w:sz w:val="18"/>
                <w:szCs w:val="18"/>
              </w:rPr>
              <w:t>＜50</w:t>
            </w:r>
          </w:p>
        </w:tc>
        <w:tc>
          <w:tcPr>
            <w:tcW w:w="2339" w:type="dxa"/>
            <w:vMerge w:val="continue"/>
            <w:tcBorders>
              <w:right w:val="single" w:color="auto" w:sz="12" w:space="0"/>
            </w:tcBorders>
            <w:shd w:val="clear" w:color="auto" w:fill="auto"/>
            <w:vAlign w:val="center"/>
          </w:tcPr>
          <w:p>
            <w:pPr>
              <w:pStyle w:val="21"/>
              <w:ind w:firstLine="0" w:firstLineChars="0"/>
              <w:jc w:val="center"/>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86" w:type="dxa"/>
            <w:vMerge w:val="continue"/>
            <w:tcBorders>
              <w:left w:val="single" w:color="auto" w:sz="12" w:space="0"/>
            </w:tcBorders>
            <w:shd w:val="clear" w:color="auto" w:fill="auto"/>
            <w:vAlign w:val="center"/>
          </w:tcPr>
          <w:p>
            <w:pPr>
              <w:pStyle w:val="21"/>
              <w:ind w:firstLine="0" w:firstLineChars="0"/>
              <w:jc w:val="center"/>
              <w:rPr>
                <w:sz w:val="18"/>
                <w:szCs w:val="18"/>
              </w:rPr>
            </w:pPr>
          </w:p>
        </w:tc>
        <w:tc>
          <w:tcPr>
            <w:tcW w:w="2692" w:type="dxa"/>
            <w:shd w:val="clear" w:color="auto" w:fill="auto"/>
            <w:vAlign w:val="center"/>
          </w:tcPr>
          <w:p>
            <w:pPr>
              <w:pStyle w:val="21"/>
              <w:ind w:firstLine="0" w:firstLineChars="0"/>
              <w:jc w:val="center"/>
              <w:rPr>
                <w:rFonts w:hAnsi="宋体"/>
                <w:sz w:val="18"/>
                <w:szCs w:val="18"/>
              </w:rPr>
            </w:pPr>
            <w:r>
              <w:rPr>
                <w:rFonts w:hint="eastAsia" w:hAnsi="宋体"/>
                <w:sz w:val="18"/>
                <w:szCs w:val="18"/>
              </w:rPr>
              <w:t>便民商业功能</w:t>
            </w:r>
          </w:p>
        </w:tc>
        <w:tc>
          <w:tcPr>
            <w:tcW w:w="2339" w:type="dxa"/>
            <w:vMerge w:val="continue"/>
            <w:shd w:val="clear" w:color="auto" w:fill="auto"/>
            <w:vAlign w:val="center"/>
          </w:tcPr>
          <w:p>
            <w:pPr>
              <w:pStyle w:val="21"/>
              <w:ind w:firstLine="0" w:firstLineChars="0"/>
              <w:jc w:val="center"/>
              <w:rPr>
                <w:sz w:val="18"/>
                <w:szCs w:val="18"/>
              </w:rPr>
            </w:pPr>
          </w:p>
        </w:tc>
        <w:tc>
          <w:tcPr>
            <w:tcW w:w="2339" w:type="dxa"/>
            <w:vMerge w:val="continue"/>
            <w:tcBorders>
              <w:right w:val="single" w:color="auto" w:sz="12" w:space="0"/>
            </w:tcBorders>
            <w:shd w:val="clear" w:color="auto" w:fill="auto"/>
            <w:vAlign w:val="center"/>
          </w:tcPr>
          <w:p>
            <w:pPr>
              <w:pStyle w:val="21"/>
              <w:ind w:firstLine="0" w:firstLineChars="0"/>
              <w:jc w:val="center"/>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86" w:type="dxa"/>
            <w:vMerge w:val="restart"/>
            <w:tcBorders>
              <w:left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C级驿站</w:t>
            </w:r>
          </w:p>
        </w:tc>
        <w:tc>
          <w:tcPr>
            <w:tcW w:w="2692" w:type="dxa"/>
            <w:shd w:val="clear" w:color="auto" w:fill="auto"/>
            <w:vAlign w:val="center"/>
          </w:tcPr>
          <w:p>
            <w:pPr>
              <w:jc w:val="center"/>
              <w:rPr>
                <w:rFonts w:ascii="宋体" w:hAnsi="宋体"/>
                <w:sz w:val="18"/>
                <w:szCs w:val="18"/>
              </w:rPr>
            </w:pPr>
            <w:r>
              <w:rPr>
                <w:rFonts w:hint="eastAsia" w:ascii="宋体"/>
                <w:sz w:val="18"/>
              </w:rPr>
              <w:t>基础功能</w:t>
            </w:r>
          </w:p>
        </w:tc>
        <w:tc>
          <w:tcPr>
            <w:tcW w:w="2339" w:type="dxa"/>
            <w:shd w:val="clear" w:color="auto" w:fill="auto"/>
            <w:vAlign w:val="center"/>
          </w:tcPr>
          <w:p>
            <w:pPr>
              <w:pStyle w:val="21"/>
              <w:ind w:firstLine="0" w:firstLineChars="0"/>
              <w:jc w:val="center"/>
              <w:rPr>
                <w:sz w:val="18"/>
                <w:szCs w:val="18"/>
              </w:rPr>
            </w:pPr>
            <w:r>
              <w:rPr>
                <w:rFonts w:hint="eastAsia"/>
                <w:sz w:val="18"/>
                <w:szCs w:val="18"/>
              </w:rPr>
              <w:t>≥50</w:t>
            </w:r>
          </w:p>
        </w:tc>
        <w:tc>
          <w:tcPr>
            <w:tcW w:w="2339" w:type="dxa"/>
            <w:vMerge w:val="restart"/>
            <w:tcBorders>
              <w:right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30～50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86" w:type="dxa"/>
            <w:vMerge w:val="continue"/>
            <w:tcBorders>
              <w:left w:val="single" w:color="auto" w:sz="12" w:space="0"/>
              <w:bottom w:val="single" w:color="auto" w:sz="12" w:space="0"/>
            </w:tcBorders>
            <w:shd w:val="clear" w:color="auto" w:fill="auto"/>
            <w:vAlign w:val="center"/>
          </w:tcPr>
          <w:p>
            <w:pPr>
              <w:pStyle w:val="21"/>
              <w:ind w:firstLine="0" w:firstLineChars="0"/>
              <w:jc w:val="center"/>
              <w:rPr>
                <w:sz w:val="18"/>
                <w:szCs w:val="18"/>
              </w:rPr>
            </w:pPr>
          </w:p>
        </w:tc>
        <w:tc>
          <w:tcPr>
            <w:tcW w:w="2692" w:type="dxa"/>
            <w:tcBorders>
              <w:bottom w:val="single" w:color="auto" w:sz="12" w:space="0"/>
            </w:tcBorders>
            <w:shd w:val="clear" w:color="auto" w:fill="auto"/>
            <w:vAlign w:val="center"/>
          </w:tcPr>
          <w:p>
            <w:pPr>
              <w:pStyle w:val="21"/>
              <w:ind w:firstLine="0" w:firstLineChars="0"/>
              <w:jc w:val="center"/>
              <w:rPr>
                <w:rFonts w:hAnsi="宋体"/>
                <w:sz w:val="18"/>
                <w:szCs w:val="18"/>
              </w:rPr>
            </w:pPr>
            <w:r>
              <w:rPr>
                <w:rFonts w:hint="eastAsia" w:hAnsi="宋体"/>
                <w:sz w:val="18"/>
                <w:szCs w:val="18"/>
              </w:rPr>
              <w:t>便民服务功能</w:t>
            </w:r>
          </w:p>
        </w:tc>
        <w:tc>
          <w:tcPr>
            <w:tcW w:w="2339" w:type="dxa"/>
            <w:tcBorders>
              <w:bottom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＜50</w:t>
            </w:r>
          </w:p>
        </w:tc>
        <w:tc>
          <w:tcPr>
            <w:tcW w:w="2339" w:type="dxa"/>
            <w:vMerge w:val="continue"/>
            <w:tcBorders>
              <w:bottom w:val="single" w:color="auto" w:sz="12" w:space="0"/>
              <w:right w:val="single" w:color="auto" w:sz="12" w:space="0"/>
            </w:tcBorders>
            <w:shd w:val="clear" w:color="auto" w:fill="auto"/>
            <w:vAlign w:val="center"/>
          </w:tcPr>
          <w:p>
            <w:pPr>
              <w:pStyle w:val="21"/>
              <w:ind w:firstLine="0" w:firstLineChars="0"/>
              <w:jc w:val="center"/>
              <w:rPr>
                <w:sz w:val="18"/>
                <w:szCs w:val="18"/>
              </w:rPr>
            </w:pPr>
          </w:p>
        </w:tc>
      </w:tr>
    </w:tbl>
    <w:p>
      <w:pPr>
        <w:pStyle w:val="113"/>
      </w:pPr>
      <w:r>
        <w:rPr>
          <w:rFonts w:hint="eastAsia"/>
        </w:rPr>
        <w:t>工具间面积应不小于2</w:t>
      </w:r>
      <w:r>
        <w:t> </w:t>
      </w:r>
      <w:r>
        <w:rPr>
          <w:rFonts w:hint="eastAsia"/>
        </w:rPr>
        <w:t>m</w:t>
      </w:r>
      <w:r>
        <w:rPr>
          <w:rFonts w:hint="eastAsia"/>
          <w:vertAlign w:val="superscript"/>
        </w:rPr>
        <w:t>2</w:t>
      </w:r>
      <w:r>
        <w:rPr>
          <w:rFonts w:hint="eastAsia"/>
        </w:rPr>
        <w:t>。</w:t>
      </w:r>
    </w:p>
    <w:p>
      <w:pPr>
        <w:pStyle w:val="46"/>
        <w:spacing w:before="156" w:after="156"/>
      </w:pPr>
      <w:r>
        <w:rPr>
          <w:rFonts w:hint="eastAsia"/>
        </w:rPr>
        <w:t>厕位设计</w:t>
      </w:r>
    </w:p>
    <w:p>
      <w:pPr>
        <w:pStyle w:val="113"/>
      </w:pPr>
      <w:r>
        <w:rPr>
          <w:rFonts w:hint="eastAsia"/>
        </w:rPr>
        <w:t>女厕位与男厕位的比例应为3:2，人流量大的场所应提高至2:1。</w:t>
      </w:r>
    </w:p>
    <w:p>
      <w:pPr>
        <w:pStyle w:val="113"/>
      </w:pPr>
      <w:r>
        <w:rPr>
          <w:rFonts w:hint="eastAsia"/>
        </w:rPr>
        <w:t>大便厕位中蹲</w:t>
      </w:r>
      <w:r>
        <w:t>便器</w:t>
      </w:r>
      <w:r>
        <w:rPr>
          <w:rFonts w:hint="eastAsia"/>
        </w:rPr>
        <w:t>与坐</w:t>
      </w:r>
      <w:r>
        <w:t>便器</w:t>
      </w:r>
      <w:r>
        <w:rPr>
          <w:rFonts w:hint="eastAsia"/>
        </w:rPr>
        <w:t>的比例应为4:1。</w:t>
      </w:r>
    </w:p>
    <w:p>
      <w:pPr>
        <w:pStyle w:val="113"/>
      </w:pPr>
      <w:r>
        <w:rPr>
          <w:rFonts w:hint="eastAsia"/>
        </w:rPr>
        <w:t>每个大便厕位长不应小于1.20</w:t>
      </w:r>
      <w:r>
        <w:t> </w:t>
      </w:r>
      <w:r>
        <w:rPr>
          <w:rFonts w:hint="eastAsia"/>
        </w:rPr>
        <w:t>m，宽不应小于0.90</w:t>
      </w:r>
      <w:r>
        <w:t> </w:t>
      </w:r>
      <w:r>
        <w:rPr>
          <w:rFonts w:hint="eastAsia"/>
        </w:rPr>
        <w:t>m；每个小便厕位进深应为0.75</w:t>
      </w:r>
      <w:r>
        <w:t> </w:t>
      </w:r>
      <w:r>
        <w:rPr>
          <w:rFonts w:hint="eastAsia"/>
        </w:rPr>
        <w:t>m，宽不应小于0.80</w:t>
      </w:r>
      <w:r>
        <w:t> </w:t>
      </w:r>
      <w:r>
        <w:rPr>
          <w:rFonts w:hint="eastAsia"/>
        </w:rPr>
        <w:t>m。</w:t>
      </w:r>
    </w:p>
    <w:p>
      <w:pPr>
        <w:pStyle w:val="113"/>
      </w:pPr>
      <w:r>
        <w:rPr>
          <w:rFonts w:hint="eastAsia"/>
        </w:rPr>
        <w:t>每个大便厕位应为一个独立的单元空间。大便厕位门</w:t>
      </w:r>
      <w:r>
        <w:t>高</w:t>
      </w:r>
      <w:r>
        <w:rPr>
          <w:rFonts w:hint="eastAsia"/>
        </w:rPr>
        <w:t>应大于1.8</w:t>
      </w:r>
      <w:r>
        <w:t> m</w:t>
      </w:r>
      <w:r>
        <w:rPr>
          <w:rFonts w:hint="eastAsia"/>
        </w:rPr>
        <w:t>，大便厕位</w:t>
      </w:r>
      <w:r>
        <w:t>门锁</w:t>
      </w:r>
      <w:r>
        <w:rPr>
          <w:rFonts w:hint="eastAsia"/>
        </w:rPr>
        <w:t>应</w:t>
      </w:r>
      <w:r>
        <w:t>显示有</w:t>
      </w:r>
      <w:r>
        <w:rPr>
          <w:rFonts w:hint="eastAsia"/>
        </w:rPr>
        <w:t>、</w:t>
      </w:r>
      <w:r>
        <w:t>无人</w:t>
      </w:r>
      <w:r>
        <w:rPr>
          <w:rFonts w:hint="eastAsia"/>
        </w:rPr>
        <w:t>如</w:t>
      </w:r>
      <w:r>
        <w:t>厕，并</w:t>
      </w:r>
      <w:r>
        <w:rPr>
          <w:rFonts w:hint="eastAsia"/>
        </w:rPr>
        <w:t>应</w:t>
      </w:r>
      <w:r>
        <w:t>能由管理员从外</w:t>
      </w:r>
      <w:r>
        <w:rPr>
          <w:rFonts w:hint="eastAsia"/>
        </w:rPr>
        <w:t>开启。</w:t>
      </w:r>
    </w:p>
    <w:p>
      <w:pPr>
        <w:pStyle w:val="113"/>
      </w:pPr>
      <w:r>
        <w:rPr>
          <w:rFonts w:hint="eastAsia"/>
        </w:rPr>
        <w:t>每个小便厕位应有高0.8</w:t>
      </w:r>
      <w:r>
        <w:t> </w:t>
      </w:r>
      <w:r>
        <w:rPr>
          <w:rFonts w:hint="eastAsia"/>
        </w:rPr>
        <w:t>m、宽0.6</w:t>
      </w:r>
      <w:r>
        <w:t> </w:t>
      </w:r>
      <w:r>
        <w:rPr>
          <w:rFonts w:hint="eastAsia"/>
        </w:rPr>
        <w:t>m的隔断板，并应设置搁物台。</w:t>
      </w:r>
    </w:p>
    <w:p>
      <w:pPr>
        <w:pStyle w:val="46"/>
        <w:spacing w:before="156" w:after="156"/>
      </w:pPr>
      <w:r>
        <w:rPr>
          <w:rFonts w:hint="eastAsia"/>
        </w:rPr>
        <w:t>平面布局</w:t>
      </w:r>
    </w:p>
    <w:p>
      <w:pPr>
        <w:pStyle w:val="113"/>
      </w:pPr>
      <w:r>
        <w:rPr>
          <w:rFonts w:hint="eastAsia"/>
        </w:rPr>
        <w:t>应将大便间、小便间和盥洗室分室设置，使各室具有独立功能。</w:t>
      </w:r>
    </w:p>
    <w:p>
      <w:pPr>
        <w:pStyle w:val="113"/>
      </w:pPr>
      <w:r>
        <w:rPr>
          <w:rFonts w:hint="eastAsia"/>
        </w:rPr>
        <w:t>单排厕位外开门走道宽度不应小于1.2</w:t>
      </w:r>
      <w:r>
        <w:t> </w:t>
      </w:r>
      <w:r>
        <w:rPr>
          <w:rFonts w:hint="eastAsia"/>
        </w:rPr>
        <w:t>m；双排厕位外开门走道宽度不应小于1.50</w:t>
      </w:r>
      <w:r>
        <w:t> </w:t>
      </w:r>
      <w:r>
        <w:rPr>
          <w:rFonts w:hint="eastAsia"/>
        </w:rPr>
        <w:t>m。</w:t>
      </w:r>
    </w:p>
    <w:p>
      <w:pPr>
        <w:pStyle w:val="113"/>
      </w:pPr>
      <w:r>
        <w:rPr>
          <w:rFonts w:hint="eastAsia"/>
        </w:rPr>
        <w:t>应配置安装有节水型洗手盆的洗手台。</w:t>
      </w:r>
    </w:p>
    <w:p>
      <w:pPr>
        <w:pStyle w:val="113"/>
      </w:pPr>
      <w:r>
        <w:rPr>
          <w:rFonts w:hint="eastAsia"/>
        </w:rPr>
        <w:t>卫生洁具的平面布置应符合CJJ 14—2016中4.4的规定。其中，两个洗手盆之间的间隔应大于0.8</w:t>
      </w:r>
      <w:r>
        <w:t> </w:t>
      </w:r>
      <w:r>
        <w:rPr>
          <w:rFonts w:hint="eastAsia"/>
        </w:rPr>
        <w:t>m，蹲（坐）便器的</w:t>
      </w:r>
      <w:r>
        <w:t>前沿离门</w:t>
      </w:r>
      <w:r>
        <w:rPr>
          <w:rFonts w:hint="eastAsia"/>
        </w:rPr>
        <w:t>不应小于</w:t>
      </w:r>
      <w:r>
        <w:t>400 mm</w:t>
      </w:r>
      <w:r>
        <w:rPr>
          <w:rFonts w:hint="eastAsia"/>
        </w:rPr>
        <w:t>。</w:t>
      </w:r>
    </w:p>
    <w:p>
      <w:pPr>
        <w:pStyle w:val="46"/>
        <w:spacing w:before="156" w:after="156"/>
      </w:pPr>
      <w:r>
        <w:rPr>
          <w:rFonts w:hint="eastAsia"/>
        </w:rPr>
        <w:t>空间要求</w:t>
      </w:r>
    </w:p>
    <w:p>
      <w:pPr>
        <w:pStyle w:val="113"/>
      </w:pPr>
      <w:r>
        <w:t>室内高度</w:t>
      </w:r>
      <w:r>
        <w:rPr>
          <w:rFonts w:hint="eastAsia"/>
        </w:rPr>
        <w:t>应为</w:t>
      </w:r>
      <w:r>
        <w:t>3 </w:t>
      </w:r>
      <w:r>
        <w:rPr>
          <w:rFonts w:hint="eastAsia"/>
        </w:rPr>
        <w:t>.5</w:t>
      </w:r>
      <w:r>
        <w:t>m～4 m</w:t>
      </w:r>
      <w:r>
        <w:rPr>
          <w:rFonts w:hint="eastAsia"/>
        </w:rPr>
        <w:t>，设天窗时可适当降低高度。</w:t>
      </w:r>
    </w:p>
    <w:p>
      <w:pPr>
        <w:pStyle w:val="113"/>
      </w:pPr>
      <w:r>
        <w:rPr>
          <w:rFonts w:hint="eastAsia"/>
        </w:rPr>
        <w:t>室内地坪标高应高于室外地坪0.15</w:t>
      </w:r>
      <w:r>
        <w:t> </w:t>
      </w:r>
      <w:r>
        <w:rPr>
          <w:rFonts w:hint="eastAsia"/>
        </w:rPr>
        <w:t>m以上。</w:t>
      </w:r>
    </w:p>
    <w:p>
      <w:pPr>
        <w:pStyle w:val="113"/>
      </w:pPr>
      <w:r>
        <w:rPr>
          <w:rFonts w:hint="eastAsia"/>
        </w:rPr>
        <w:t>室内地面应有0.01°～0.015°的坡度坡向地漏，蹲台地面坡度应坡向蹲便器。冲洗水不应流向室外。</w:t>
      </w:r>
    </w:p>
    <w:p>
      <w:pPr>
        <w:pStyle w:val="41"/>
        <w:spacing w:before="156" w:after="156"/>
      </w:pPr>
      <w:r>
        <w:rPr>
          <w:rFonts w:hint="eastAsia"/>
        </w:rPr>
        <w:t>卫生设备</w:t>
      </w:r>
    </w:p>
    <w:p>
      <w:pPr>
        <w:pStyle w:val="46"/>
        <w:spacing w:before="156" w:after="156"/>
      </w:pPr>
      <w:r>
        <w:rPr>
          <w:rFonts w:hint="eastAsia"/>
        </w:rPr>
        <w:t>卫生洁具</w:t>
      </w:r>
    </w:p>
    <w:p>
      <w:pPr>
        <w:pStyle w:val="113"/>
      </w:pPr>
      <w:r>
        <w:rPr>
          <w:rFonts w:hint="eastAsia"/>
        </w:rPr>
        <w:t>大便器应采用防臭、易清洁、节水的</w:t>
      </w:r>
      <w:r>
        <w:t>按键式</w:t>
      </w:r>
      <w:r>
        <w:rPr>
          <w:rFonts w:hint="eastAsia"/>
        </w:rPr>
        <w:t>蹲（坐）便器，</w:t>
      </w:r>
      <w:r>
        <w:t>长度</w:t>
      </w:r>
      <w:r>
        <w:rPr>
          <w:rFonts w:hint="eastAsia"/>
        </w:rPr>
        <w:t>不应小于</w:t>
      </w:r>
      <w:r>
        <w:t>600 mm</w:t>
      </w:r>
      <w:r>
        <w:rPr>
          <w:rFonts w:hint="eastAsia"/>
        </w:rPr>
        <w:t>。</w:t>
      </w:r>
    </w:p>
    <w:p>
      <w:pPr>
        <w:pStyle w:val="113"/>
      </w:pPr>
      <w:r>
        <w:rPr>
          <w:rFonts w:hint="eastAsia"/>
        </w:rPr>
        <w:t>独立小便器应选用易于保洁的半挂式小便器，冲水阀应采用红外感应式。</w:t>
      </w:r>
    </w:p>
    <w:p>
      <w:pPr>
        <w:pStyle w:val="113"/>
      </w:pPr>
      <w:r>
        <w:rPr>
          <w:rFonts w:hint="eastAsia"/>
        </w:rPr>
        <w:t>卫生洁具的用水量应符合GB/T 31436的规定。大便器应采用每次用水量不大于4</w:t>
      </w:r>
      <w:r>
        <w:t> </w:t>
      </w:r>
      <w:r>
        <w:rPr>
          <w:rFonts w:hint="eastAsia"/>
        </w:rPr>
        <w:t>L的冲水系统。</w:t>
      </w:r>
    </w:p>
    <w:p>
      <w:pPr>
        <w:pStyle w:val="113"/>
      </w:pPr>
      <w:r>
        <w:rPr>
          <w:rFonts w:hint="eastAsia"/>
        </w:rPr>
        <w:t>陶瓷卫生洁具应符合GB/T 6952的规定。</w:t>
      </w:r>
    </w:p>
    <w:p>
      <w:pPr>
        <w:pStyle w:val="113"/>
      </w:pPr>
      <w:r>
        <w:rPr>
          <w:rFonts w:hint="eastAsia"/>
        </w:rPr>
        <w:t>洗手盆应采用台下式，深度不应小于600</w:t>
      </w:r>
      <w:r>
        <w:t> </w:t>
      </w:r>
      <w:r>
        <w:rPr>
          <w:rFonts w:hint="eastAsia"/>
        </w:rPr>
        <w:t>mm，</w:t>
      </w:r>
      <w:r>
        <w:rPr>
          <w:rFonts w:hint="eastAsia"/>
          <w:color w:val="000000" w:themeColor="text1"/>
          <w14:textFill>
            <w14:solidFill>
              <w14:schemeClr w14:val="tx1"/>
            </w14:solidFill>
          </w14:textFill>
        </w:rPr>
        <w:t>边缘不应突出于台面之上。</w:t>
      </w:r>
      <w:r>
        <w:rPr>
          <w:color w:val="000000" w:themeColor="text1"/>
          <w14:textFill>
            <w14:solidFill>
              <w14:schemeClr w14:val="tx1"/>
            </w14:solidFill>
          </w14:textFill>
        </w:rPr>
        <w:t>儿童专用洗手盆</w:t>
      </w:r>
      <w:r>
        <w:rPr>
          <w:rFonts w:hint="eastAsia"/>
          <w:color w:val="000000" w:themeColor="text1"/>
          <w14:textFill>
            <w14:solidFill>
              <w14:schemeClr w14:val="tx1"/>
            </w14:solidFill>
          </w14:textFill>
        </w:rPr>
        <w:t>高度应为500mm</w:t>
      </w:r>
      <w:r>
        <w:rPr>
          <w:rFonts w:hint="eastAsia"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600</w:t>
      </w:r>
      <w:r>
        <w:rPr>
          <w:color w:val="000000" w:themeColor="text1"/>
          <w14:textFill>
            <w14:solidFill>
              <w14:schemeClr w14:val="tx1"/>
            </w14:solidFill>
          </w14:textFill>
        </w:rPr>
        <w:t> </w:t>
      </w:r>
      <w:r>
        <w:rPr>
          <w:rFonts w:hint="eastAsia"/>
          <w:color w:val="000000" w:themeColor="text1"/>
          <w14:textFill>
            <w14:solidFill>
              <w14:schemeClr w14:val="tx1"/>
            </w14:solidFill>
          </w14:textFill>
        </w:rPr>
        <w:t>mm。</w:t>
      </w:r>
    </w:p>
    <w:p>
      <w:pPr>
        <w:pStyle w:val="113"/>
      </w:pPr>
      <w:r>
        <w:rPr>
          <w:rFonts w:hint="eastAsia"/>
        </w:rPr>
        <w:t>洗手龙头应采用节水、耐用、感应式器具。</w:t>
      </w:r>
    </w:p>
    <w:p>
      <w:pPr>
        <w:pStyle w:val="46"/>
        <w:spacing w:before="156" w:after="156"/>
      </w:pPr>
      <w:r>
        <w:rPr>
          <w:rFonts w:hint="eastAsia"/>
        </w:rPr>
        <w:t>辅助设备</w:t>
      </w:r>
    </w:p>
    <w:p>
      <w:pPr>
        <w:pStyle w:val="113"/>
      </w:pPr>
      <w:r>
        <w:rPr>
          <w:rFonts w:hint="eastAsia"/>
        </w:rPr>
        <w:t>大便厕位应设置承重不小于6.8</w:t>
      </w:r>
      <w:r>
        <w:t> </w:t>
      </w:r>
      <w:r>
        <w:rPr>
          <w:rFonts w:hint="eastAsia"/>
        </w:rPr>
        <w:t>kg的防腐蚀挂物钩。</w:t>
      </w:r>
    </w:p>
    <w:p>
      <w:pPr>
        <w:pStyle w:val="113"/>
      </w:pPr>
      <w:r>
        <w:rPr>
          <w:rFonts w:hint="eastAsia"/>
        </w:rPr>
        <w:t>长度大于1.4</w:t>
      </w:r>
      <w:r>
        <w:t> </w:t>
      </w:r>
      <w:r>
        <w:rPr>
          <w:rFonts w:hint="eastAsia"/>
        </w:rPr>
        <w:t>m的大便厕位，应设置搁物台。</w:t>
      </w:r>
    </w:p>
    <w:p>
      <w:pPr>
        <w:pStyle w:val="113"/>
      </w:pPr>
      <w:r>
        <w:rPr>
          <w:rFonts w:hint="eastAsia"/>
        </w:rPr>
        <w:t>厕位宜设置扶手，扶手应具有抗菌功能。</w:t>
      </w:r>
    </w:p>
    <w:p>
      <w:pPr>
        <w:pStyle w:val="113"/>
      </w:pPr>
      <w:r>
        <w:rPr>
          <w:rFonts w:hint="eastAsia"/>
        </w:rPr>
        <w:t>坐便器上应安装清洁坐垫，并每天更换。</w:t>
      </w:r>
    </w:p>
    <w:p>
      <w:pPr>
        <w:pStyle w:val="113"/>
      </w:pPr>
      <w:r>
        <w:rPr>
          <w:rFonts w:hint="eastAsia"/>
        </w:rPr>
        <w:t>驿站内应配备手纸盒，并应免费提供具有水溶性的厕纸。</w:t>
      </w:r>
    </w:p>
    <w:p>
      <w:pPr>
        <w:pStyle w:val="113"/>
      </w:pPr>
      <w:r>
        <w:rPr>
          <w:rFonts w:hint="eastAsia"/>
        </w:rPr>
        <w:t>驿站内应配置洗手液、烘干机、独立式面镜。</w:t>
      </w:r>
    </w:p>
    <w:p>
      <w:pPr>
        <w:pStyle w:val="41"/>
        <w:spacing w:before="156" w:after="156"/>
      </w:pPr>
      <w:r>
        <w:rPr>
          <w:rFonts w:hint="eastAsia"/>
        </w:rPr>
        <w:t>配套设备</w:t>
      </w:r>
    </w:p>
    <w:p>
      <w:pPr>
        <w:pStyle w:val="108"/>
      </w:pPr>
      <w:r>
        <w:rPr>
          <w:rFonts w:hint="eastAsia"/>
        </w:rPr>
        <w:t>驿站内应配置空调和自动除臭设备。</w:t>
      </w:r>
    </w:p>
    <w:p>
      <w:pPr>
        <w:pStyle w:val="108"/>
      </w:pPr>
      <w:r>
        <w:rPr>
          <w:rFonts w:hint="eastAsia"/>
        </w:rPr>
        <w:t>驿站内应配置智能化系统，以监控内部环境卫生。智能化系统的基本要求应符合附录A的规定。</w:t>
      </w:r>
    </w:p>
    <w:p>
      <w:pPr>
        <w:pStyle w:val="108"/>
      </w:pPr>
      <w:r>
        <w:rPr>
          <w:rFonts w:hint="eastAsia"/>
        </w:rPr>
        <w:t>驿站内应配置</w:t>
      </w:r>
      <w:r>
        <w:rPr>
          <w:rFonts w:hint="eastAsia" w:hAnsi="宋体"/>
        </w:rPr>
        <w:t>防蝇、防蚊设备，</w:t>
      </w:r>
      <w:r>
        <w:rPr>
          <w:rFonts w:hint="eastAsia"/>
        </w:rPr>
        <w:t>外围应配置防鼠设备。</w:t>
      </w:r>
    </w:p>
    <w:p>
      <w:pPr>
        <w:pStyle w:val="108"/>
      </w:pPr>
      <w:r>
        <w:rPr>
          <w:rFonts w:hint="eastAsia"/>
        </w:rPr>
        <w:t>管理间应配置至少1个1A的手提式干粉灭火器。</w:t>
      </w:r>
    </w:p>
    <w:p>
      <w:pPr>
        <w:pStyle w:val="108"/>
      </w:pPr>
      <w:r>
        <w:rPr>
          <w:rFonts w:hint="eastAsia"/>
        </w:rPr>
        <w:t>驿站内应配置紧急呼叫器、急救药箱、废物收容器等设备。</w:t>
      </w:r>
    </w:p>
    <w:p>
      <w:pPr>
        <w:pStyle w:val="108"/>
      </w:pPr>
      <w:r>
        <w:rPr>
          <w:rFonts w:hint="eastAsia"/>
        </w:rPr>
        <w:t>驿站内应根据气候设置降温和取暖设施，冬季水龙头出水温度低于15</w:t>
      </w:r>
      <w:r>
        <w:t> </w:t>
      </w:r>
      <w:r>
        <w:rPr>
          <w:rFonts w:hint="eastAsia"/>
        </w:rPr>
        <w:t>℃的应设水加热设施，洗手水温不应大于40</w:t>
      </w:r>
      <w:r>
        <w:t> </w:t>
      </w:r>
      <w:r>
        <w:rPr>
          <w:rFonts w:hint="eastAsia"/>
        </w:rPr>
        <w:t>℃。</w:t>
      </w:r>
    </w:p>
    <w:p>
      <w:pPr>
        <w:pStyle w:val="108"/>
      </w:pPr>
      <w:r>
        <w:rPr>
          <w:rFonts w:hint="eastAsia"/>
        </w:rPr>
        <w:t>其他设施设备，应符合表2的规定。</w:t>
      </w:r>
    </w:p>
    <w:p>
      <w:pPr>
        <w:pStyle w:val="41"/>
        <w:spacing w:before="156" w:after="156"/>
      </w:pPr>
      <w:r>
        <w:rPr>
          <w:rFonts w:hint="eastAsia"/>
        </w:rPr>
        <w:t>照明</w:t>
      </w:r>
    </w:p>
    <w:p>
      <w:pPr>
        <w:pStyle w:val="108"/>
      </w:pPr>
      <w:r>
        <w:rPr>
          <w:rFonts w:hint="eastAsia"/>
        </w:rPr>
        <w:t>应采用防潮节能型照明灯具，厕所间照度不应小于150</w:t>
      </w:r>
      <w:r>
        <w:t> </w:t>
      </w:r>
      <w:r>
        <w:rPr>
          <w:rFonts w:hint="eastAsia"/>
        </w:rPr>
        <w:t>lx，管理间照度不应小于100</w:t>
      </w:r>
      <w:r>
        <w:t> </w:t>
      </w:r>
      <w:r>
        <w:rPr>
          <w:rFonts w:hint="eastAsia"/>
        </w:rPr>
        <w:t>lx。</w:t>
      </w:r>
    </w:p>
    <w:p>
      <w:pPr>
        <w:pStyle w:val="108"/>
      </w:pPr>
      <w:r>
        <w:rPr>
          <w:rFonts w:hint="eastAsia"/>
        </w:rPr>
        <w:t>应配备应急照明灯具，灯具应选用LED照明灯光。</w:t>
      </w:r>
    </w:p>
    <w:p>
      <w:pPr>
        <w:pStyle w:val="108"/>
      </w:pPr>
      <w:r>
        <w:rPr>
          <w:rFonts w:hint="eastAsia"/>
        </w:rPr>
        <w:t>窗地面积比不应小于1:7，当外墙侧窗不能满足要求时应增设天窗。</w:t>
      </w:r>
    </w:p>
    <w:p>
      <w:pPr>
        <w:pStyle w:val="41"/>
        <w:spacing w:before="156" w:after="156"/>
      </w:pPr>
      <w:r>
        <w:rPr>
          <w:rFonts w:hint="eastAsia"/>
        </w:rPr>
        <w:t>通风</w:t>
      </w:r>
    </w:p>
    <w:p>
      <w:pPr>
        <w:pStyle w:val="108"/>
      </w:pPr>
      <w:r>
        <w:rPr>
          <w:rFonts w:hint="eastAsia"/>
        </w:rPr>
        <w:t>厕所空间换气应按每个厕位不小于40</w:t>
      </w:r>
      <w:r>
        <w:t> </w:t>
      </w:r>
      <w:r>
        <w:rPr>
          <w:rFonts w:hint="eastAsia"/>
        </w:rPr>
        <w:t>m</w:t>
      </w:r>
      <w:r>
        <w:rPr>
          <w:rFonts w:hint="eastAsia"/>
          <w:vertAlign w:val="superscript"/>
        </w:rPr>
        <w:t>3</w:t>
      </w:r>
      <w:r>
        <w:rPr>
          <w:rFonts w:hint="eastAsia"/>
        </w:rPr>
        <w:t>/h计算通风量。</w:t>
      </w:r>
    </w:p>
    <w:p>
      <w:pPr>
        <w:pStyle w:val="108"/>
      </w:pPr>
      <w:r>
        <w:rPr>
          <w:rFonts w:hint="eastAsia"/>
        </w:rPr>
        <w:t>内部通风流向应由盥洗区与工作人员休息区流向小便区、大便区，避免反流。</w:t>
      </w:r>
    </w:p>
    <w:p>
      <w:pPr>
        <w:pStyle w:val="108"/>
      </w:pPr>
      <w:r>
        <w:rPr>
          <w:rFonts w:hint="eastAsia"/>
        </w:rPr>
        <w:t>驿站内除自然通风外，应采用新风除臭系统实时智能抽吸排泄瞬间异味及坑位残留异味，保持空气清新。</w:t>
      </w:r>
    </w:p>
    <w:p>
      <w:pPr>
        <w:pStyle w:val="108"/>
      </w:pPr>
      <w:r>
        <w:rPr>
          <w:rFonts w:hint="eastAsia"/>
        </w:rPr>
        <w:t>排水管道的主干管、化粪池应设置排气管，并向高空排放。</w:t>
      </w:r>
    </w:p>
    <w:p>
      <w:pPr>
        <w:pStyle w:val="41"/>
        <w:spacing w:before="156" w:after="156"/>
      </w:pPr>
      <w:r>
        <w:rPr>
          <w:rFonts w:hint="eastAsia"/>
        </w:rPr>
        <w:t>给水排水</w:t>
      </w:r>
    </w:p>
    <w:p>
      <w:pPr>
        <w:pStyle w:val="108"/>
      </w:pPr>
      <w:r>
        <w:rPr>
          <w:rFonts w:hint="eastAsia"/>
        </w:rPr>
        <w:t>冲厕用水应符合GB/T 18920的规定，洗手用水应符合GB 5749的规定。</w:t>
      </w:r>
    </w:p>
    <w:p>
      <w:pPr>
        <w:pStyle w:val="108"/>
      </w:pPr>
      <w:r>
        <w:rPr>
          <w:rFonts w:hint="eastAsia"/>
        </w:rPr>
        <w:t>洗手用水应单独由上水引入，不应将回用水用于洗手。</w:t>
      </w:r>
    </w:p>
    <w:p>
      <w:pPr>
        <w:pStyle w:val="108"/>
      </w:pPr>
      <w:r>
        <w:rPr>
          <w:rFonts w:hint="eastAsia"/>
        </w:rPr>
        <w:t>有市政污水管网，驿站的污水宜排入污水管网，无市政污水管网的应排入化粪池。</w:t>
      </w:r>
    </w:p>
    <w:p>
      <w:pPr>
        <w:pStyle w:val="108"/>
      </w:pPr>
      <w:r>
        <w:rPr>
          <w:rFonts w:hint="eastAsia"/>
        </w:rPr>
        <w:t>化粪池应有防爆、防臭措施，并应设置可燃气体浓度监测装置以及浓度超限报警装置。</w:t>
      </w:r>
    </w:p>
    <w:p>
      <w:pPr>
        <w:pStyle w:val="46"/>
        <w:spacing w:before="156" w:after="156"/>
        <w:rPr>
          <w:rFonts w:ascii="宋体" w:eastAsia="宋体"/>
        </w:rPr>
      </w:pPr>
      <w:r>
        <w:rPr>
          <w:rFonts w:hint="eastAsia" w:ascii="宋体" w:eastAsia="宋体"/>
        </w:rPr>
        <w:t>有市政污水官网的，</w:t>
      </w:r>
    </w:p>
    <w:p>
      <w:pPr>
        <w:pStyle w:val="41"/>
        <w:spacing w:before="156" w:after="156"/>
      </w:pPr>
      <w:r>
        <w:rPr>
          <w:rFonts w:hint="eastAsia"/>
        </w:rPr>
        <w:t>第三卫生间</w:t>
      </w:r>
    </w:p>
    <w:p>
      <w:pPr>
        <w:pStyle w:val="108"/>
      </w:pPr>
      <w:r>
        <w:rPr>
          <w:rFonts w:hint="eastAsia"/>
        </w:rPr>
        <w:t>第三卫生间的位置应靠近驿站入口。对于多层驿站，第三卫生间应设在地坪层，方便行动不便者进入。</w:t>
      </w:r>
    </w:p>
    <w:p>
      <w:pPr>
        <w:pStyle w:val="108"/>
      </w:pPr>
      <w:r>
        <w:rPr>
          <w:rFonts w:hint="eastAsia"/>
        </w:rPr>
        <w:t>第三卫生间的使用面积不应小于6.5</w:t>
      </w:r>
      <w:r>
        <w:t> </w:t>
      </w:r>
      <w:r>
        <w:rPr>
          <w:rFonts w:hint="eastAsia"/>
        </w:rPr>
        <w:t>m</w:t>
      </w:r>
      <w:r>
        <w:rPr>
          <w:rFonts w:hint="eastAsia"/>
          <w:vertAlign w:val="superscript"/>
        </w:rPr>
        <w:t>2</w:t>
      </w:r>
      <w:r>
        <w:rPr>
          <w:rFonts w:hint="eastAsia"/>
        </w:rPr>
        <w:t>。</w:t>
      </w:r>
    </w:p>
    <w:p>
      <w:pPr>
        <w:pStyle w:val="108"/>
      </w:pPr>
      <w:r>
        <w:rPr>
          <w:rFonts w:hint="eastAsia"/>
        </w:rPr>
        <w:t>第三卫生间内部的基本设施设备应至少包括：无障碍厕位、成人洗手盆、母婴护理台、挂衣钩、呼叫器、儿童坐便器、儿童洗手盆、儿童安全座椅。</w:t>
      </w:r>
    </w:p>
    <w:p>
      <w:pPr>
        <w:pStyle w:val="108"/>
      </w:pPr>
      <w:r>
        <w:t>儿童小便器</w:t>
      </w:r>
      <w:r>
        <w:rPr>
          <w:rFonts w:hint="eastAsia"/>
        </w:rPr>
        <w:t>前缘高度不应大于</w:t>
      </w:r>
      <w:r>
        <w:t>3</w:t>
      </w:r>
      <w:r>
        <w:rPr>
          <w:rFonts w:hint="eastAsia"/>
        </w:rPr>
        <w:t>5</w:t>
      </w:r>
      <w:r>
        <w:t>0 mm。</w:t>
      </w:r>
    </w:p>
    <w:p>
      <w:pPr>
        <w:pStyle w:val="41"/>
        <w:spacing w:before="156" w:after="156"/>
      </w:pPr>
      <w:r>
        <w:rPr>
          <w:rFonts w:hint="eastAsia"/>
        </w:rPr>
        <w:t>无障碍设施</w:t>
      </w:r>
    </w:p>
    <w:p>
      <w:pPr>
        <w:pStyle w:val="21"/>
      </w:pPr>
      <w:r>
        <w:rPr>
          <w:rFonts w:hint="eastAsia"/>
        </w:rPr>
        <w:t>无障碍设施的设计应符合CJJ 14—2016第7章的规定。</w:t>
      </w:r>
    </w:p>
    <w:p>
      <w:pPr>
        <w:pStyle w:val="41"/>
        <w:spacing w:before="156" w:after="156"/>
      </w:pPr>
      <w:r>
        <w:rPr>
          <w:rFonts w:hint="eastAsia"/>
        </w:rPr>
        <w:t>建筑物防雷</w:t>
      </w:r>
    </w:p>
    <w:p>
      <w:pPr>
        <w:pStyle w:val="21"/>
      </w:pPr>
      <w:r>
        <w:rPr>
          <w:rFonts w:hint="eastAsia"/>
        </w:rPr>
        <w:t>驿站的防雷设计应符合GB 50057的规定。</w:t>
      </w:r>
    </w:p>
    <w:p>
      <w:pPr>
        <w:pStyle w:val="41"/>
        <w:spacing w:before="156" w:after="156"/>
      </w:pPr>
      <w:r>
        <w:rPr>
          <w:rFonts w:hint="eastAsia"/>
        </w:rPr>
        <w:t>标志标牌</w:t>
      </w:r>
    </w:p>
    <w:p>
      <w:pPr>
        <w:pStyle w:val="21"/>
      </w:pPr>
      <w:r>
        <w:rPr>
          <w:rFonts w:hint="eastAsia"/>
        </w:rPr>
        <w:t>驿站的各种标志标牌应符合附录B的规定。</w:t>
      </w:r>
    </w:p>
    <w:p>
      <w:pPr>
        <w:pStyle w:val="41"/>
        <w:spacing w:before="156" w:after="156"/>
      </w:pPr>
      <w:r>
        <w:rPr>
          <w:rFonts w:hint="eastAsia"/>
        </w:rPr>
        <w:t>建筑材料</w:t>
      </w:r>
    </w:p>
    <w:p>
      <w:pPr>
        <w:pStyle w:val="108"/>
      </w:pPr>
      <w:r>
        <w:rPr>
          <w:rFonts w:hint="eastAsia"/>
        </w:rPr>
        <w:t>建筑材料应优先采用环保的新材料、新技术。</w:t>
      </w:r>
    </w:p>
    <w:p>
      <w:pPr>
        <w:pStyle w:val="108"/>
      </w:pPr>
      <w:r>
        <w:rPr>
          <w:rFonts w:hint="eastAsia"/>
        </w:rPr>
        <w:t>主要</w:t>
      </w:r>
      <w:r>
        <w:t>建筑材料</w:t>
      </w:r>
      <w:r>
        <w:rPr>
          <w:rFonts w:hint="eastAsia"/>
        </w:rPr>
        <w:t>应</w:t>
      </w:r>
      <w:r>
        <w:t>符合表</w:t>
      </w:r>
      <w:r>
        <w:rPr>
          <w:rFonts w:hint="eastAsia"/>
        </w:rPr>
        <w:t>4</w:t>
      </w:r>
      <w:r>
        <w:t>的</w:t>
      </w:r>
      <w:r>
        <w:rPr>
          <w:rFonts w:hint="eastAsia"/>
        </w:rPr>
        <w:t>规定。</w:t>
      </w:r>
    </w:p>
    <w:p>
      <w:pPr>
        <w:pStyle w:val="122"/>
        <w:numPr>
          <w:ilvl w:val="0"/>
          <w:numId w:val="10"/>
        </w:numPr>
      </w:pPr>
      <w:r>
        <w:rPr>
          <w:rFonts w:hint="eastAsia"/>
        </w:rPr>
        <w:t>建筑材料要求</w:t>
      </w:r>
    </w:p>
    <w:tbl>
      <w:tblPr>
        <w:tblStyle w:val="29"/>
        <w:tblW w:w="93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8"/>
        <w:gridCol w:w="1667"/>
        <w:gridCol w:w="66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28" w:type="dxa"/>
            <w:tcBorders>
              <w:top w:val="single" w:color="auto" w:sz="12" w:space="0"/>
              <w:left w:val="single" w:color="auto" w:sz="12" w:space="0"/>
              <w:bottom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序号</w:t>
            </w:r>
          </w:p>
        </w:tc>
        <w:tc>
          <w:tcPr>
            <w:tcW w:w="1667" w:type="dxa"/>
            <w:tcBorders>
              <w:top w:val="single" w:color="auto" w:sz="12" w:space="0"/>
              <w:bottom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材料项目</w:t>
            </w:r>
          </w:p>
        </w:tc>
        <w:tc>
          <w:tcPr>
            <w:tcW w:w="6661" w:type="dxa"/>
            <w:tcBorders>
              <w:top w:val="single" w:color="auto" w:sz="12" w:space="0"/>
              <w:bottom w:val="single" w:color="auto" w:sz="12" w:space="0"/>
              <w:right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材料要求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28" w:type="dxa"/>
            <w:tcBorders>
              <w:top w:val="single" w:color="auto" w:sz="12" w:space="0"/>
              <w:left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1</w:t>
            </w:r>
          </w:p>
        </w:tc>
        <w:tc>
          <w:tcPr>
            <w:tcW w:w="1667" w:type="dxa"/>
            <w:tcBorders>
              <w:top w:val="single" w:color="auto" w:sz="12" w:space="0"/>
            </w:tcBorders>
            <w:shd w:val="clear" w:color="auto" w:fill="auto"/>
            <w:vAlign w:val="center"/>
          </w:tcPr>
          <w:p>
            <w:pPr>
              <w:jc w:val="center"/>
              <w:rPr>
                <w:rStyle w:val="133"/>
                <w:rFonts w:ascii="宋体" w:hAnsi="宋体" w:cs="宋体"/>
                <w:bCs/>
                <w:color w:val="000000"/>
                <w:kern w:val="0"/>
                <w:sz w:val="18"/>
                <w:szCs w:val="18"/>
              </w:rPr>
            </w:pPr>
            <w:r>
              <w:rPr>
                <w:rStyle w:val="133"/>
                <w:rFonts w:ascii="宋体" w:hAnsi="宋体" w:cs="宋体"/>
                <w:bCs/>
                <w:color w:val="000000"/>
                <w:kern w:val="0"/>
                <w:sz w:val="18"/>
                <w:szCs w:val="18"/>
              </w:rPr>
              <w:t>室内顶棚</w:t>
            </w:r>
          </w:p>
        </w:tc>
        <w:tc>
          <w:tcPr>
            <w:tcW w:w="6661" w:type="dxa"/>
            <w:tcBorders>
              <w:top w:val="single" w:color="auto" w:sz="12" w:space="0"/>
              <w:right w:val="single" w:color="auto" w:sz="12" w:space="0"/>
            </w:tcBorders>
            <w:shd w:val="clear" w:color="auto" w:fill="auto"/>
            <w:vAlign w:val="center"/>
          </w:tcPr>
          <w:p>
            <w:pPr>
              <w:jc w:val="left"/>
              <w:rPr>
                <w:rStyle w:val="133"/>
                <w:rFonts w:ascii="宋体" w:hAnsi="宋体" w:cs="宋体"/>
                <w:bCs/>
                <w:color w:val="000000"/>
                <w:kern w:val="0"/>
                <w:sz w:val="18"/>
                <w:szCs w:val="18"/>
              </w:rPr>
            </w:pPr>
            <w:r>
              <w:rPr>
                <w:rStyle w:val="133"/>
                <w:rFonts w:ascii="宋体" w:hAnsi="宋体" w:cs="宋体"/>
                <w:bCs/>
                <w:color w:val="000000"/>
                <w:kern w:val="0"/>
                <w:sz w:val="18"/>
                <w:szCs w:val="18"/>
              </w:rPr>
              <w:t>防潮</w:t>
            </w:r>
            <w:r>
              <w:rPr>
                <w:rStyle w:val="133"/>
                <w:rFonts w:hint="eastAsia" w:ascii="宋体" w:hAnsi="宋体" w:cs="宋体"/>
                <w:bCs/>
                <w:color w:val="000000"/>
                <w:kern w:val="0"/>
                <w:sz w:val="18"/>
                <w:szCs w:val="18"/>
              </w:rPr>
              <w:t>、</w:t>
            </w:r>
            <w:r>
              <w:rPr>
                <w:rStyle w:val="133"/>
                <w:rFonts w:ascii="宋体" w:hAnsi="宋体" w:cs="宋体"/>
                <w:bCs/>
                <w:color w:val="000000"/>
                <w:kern w:val="0"/>
                <w:sz w:val="18"/>
                <w:szCs w:val="18"/>
              </w:rPr>
              <w:t>防腐蚀</w:t>
            </w:r>
            <w:r>
              <w:rPr>
                <w:rStyle w:val="133"/>
                <w:rFonts w:hint="eastAsia" w:ascii="宋体" w:hAnsi="宋体" w:cs="宋体"/>
                <w:bCs/>
                <w:color w:val="000000"/>
                <w:kern w:val="0"/>
                <w:sz w:val="18"/>
                <w:szCs w:val="18"/>
              </w:rPr>
              <w:t>的</w:t>
            </w:r>
            <w:r>
              <w:rPr>
                <w:rStyle w:val="133"/>
                <w:rFonts w:ascii="宋体" w:hAnsi="宋体" w:cs="宋体"/>
                <w:bCs/>
                <w:color w:val="000000"/>
                <w:kern w:val="0"/>
                <w:sz w:val="18"/>
                <w:szCs w:val="18"/>
              </w:rPr>
              <w:t>高级材料吊顶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28" w:type="dxa"/>
            <w:tcBorders>
              <w:left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2</w:t>
            </w:r>
          </w:p>
        </w:tc>
        <w:tc>
          <w:tcPr>
            <w:tcW w:w="1667" w:type="dxa"/>
            <w:shd w:val="clear" w:color="auto" w:fill="auto"/>
            <w:vAlign w:val="center"/>
          </w:tcPr>
          <w:p>
            <w:pPr>
              <w:jc w:val="center"/>
              <w:rPr>
                <w:rStyle w:val="133"/>
                <w:rFonts w:ascii="宋体" w:hAnsi="宋体" w:cs="宋体"/>
                <w:bCs/>
                <w:color w:val="000000"/>
                <w:kern w:val="0"/>
                <w:sz w:val="18"/>
                <w:szCs w:val="18"/>
              </w:rPr>
            </w:pPr>
            <w:r>
              <w:rPr>
                <w:rStyle w:val="133"/>
                <w:rFonts w:ascii="宋体" w:hAnsi="宋体" w:cs="宋体"/>
                <w:bCs/>
                <w:color w:val="000000"/>
                <w:kern w:val="0"/>
                <w:sz w:val="18"/>
                <w:szCs w:val="18"/>
              </w:rPr>
              <w:t>室内墙面</w:t>
            </w:r>
          </w:p>
        </w:tc>
        <w:tc>
          <w:tcPr>
            <w:tcW w:w="6661" w:type="dxa"/>
            <w:tcBorders>
              <w:right w:val="single" w:color="auto" w:sz="12" w:space="0"/>
            </w:tcBorders>
            <w:shd w:val="clear" w:color="auto" w:fill="auto"/>
            <w:vAlign w:val="center"/>
          </w:tcPr>
          <w:p>
            <w:pPr>
              <w:jc w:val="left"/>
              <w:rPr>
                <w:rStyle w:val="133"/>
                <w:rFonts w:ascii="宋体" w:hAnsi="宋体" w:cs="宋体"/>
                <w:bCs/>
                <w:color w:val="000000"/>
                <w:kern w:val="0"/>
                <w:sz w:val="18"/>
                <w:szCs w:val="18"/>
              </w:rPr>
            </w:pPr>
            <w:r>
              <w:rPr>
                <w:rStyle w:val="133"/>
                <w:rFonts w:hint="eastAsia" w:ascii="宋体" w:hAnsi="宋体" w:cs="宋体"/>
                <w:bCs/>
                <w:color w:val="000000"/>
                <w:kern w:val="0"/>
                <w:sz w:val="18"/>
                <w:szCs w:val="18"/>
              </w:rPr>
              <w:t>浅色瓷砖等材料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28" w:type="dxa"/>
            <w:tcBorders>
              <w:left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3</w:t>
            </w:r>
          </w:p>
        </w:tc>
        <w:tc>
          <w:tcPr>
            <w:tcW w:w="1667" w:type="dxa"/>
            <w:shd w:val="clear" w:color="auto" w:fill="auto"/>
            <w:vAlign w:val="center"/>
          </w:tcPr>
          <w:p>
            <w:pPr>
              <w:pStyle w:val="21"/>
              <w:ind w:firstLine="0" w:firstLineChars="0"/>
              <w:jc w:val="center"/>
              <w:rPr>
                <w:sz w:val="18"/>
                <w:szCs w:val="18"/>
              </w:rPr>
            </w:pPr>
            <w:r>
              <w:rPr>
                <w:rStyle w:val="133"/>
                <w:rFonts w:hAnsi="宋体" w:cs="宋体"/>
                <w:bCs/>
                <w:color w:val="000000"/>
                <w:sz w:val="18"/>
                <w:szCs w:val="18"/>
              </w:rPr>
              <w:t>地面、蹲台</w:t>
            </w:r>
          </w:p>
        </w:tc>
        <w:tc>
          <w:tcPr>
            <w:tcW w:w="6661" w:type="dxa"/>
            <w:tcBorders>
              <w:right w:val="single" w:color="auto" w:sz="12" w:space="0"/>
            </w:tcBorders>
            <w:shd w:val="clear" w:color="auto" w:fill="auto"/>
            <w:vAlign w:val="center"/>
          </w:tcPr>
          <w:p>
            <w:pPr>
              <w:pStyle w:val="21"/>
              <w:ind w:firstLine="0" w:firstLineChars="0"/>
              <w:jc w:val="left"/>
              <w:rPr>
                <w:strike/>
                <w:sz w:val="18"/>
                <w:szCs w:val="18"/>
              </w:rPr>
            </w:pPr>
            <w:r>
              <w:rPr>
                <w:rStyle w:val="133"/>
                <w:rFonts w:hint="eastAsia" w:hAnsi="宋体" w:cs="宋体"/>
                <w:bCs/>
                <w:color w:val="000000"/>
                <w:sz w:val="18"/>
                <w:szCs w:val="18"/>
              </w:rPr>
              <w:t>深色防滑防渗地砖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28" w:type="dxa"/>
            <w:tcBorders>
              <w:left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4</w:t>
            </w:r>
          </w:p>
        </w:tc>
        <w:tc>
          <w:tcPr>
            <w:tcW w:w="1667" w:type="dxa"/>
            <w:shd w:val="clear" w:color="auto" w:fill="auto"/>
            <w:vAlign w:val="center"/>
          </w:tcPr>
          <w:p>
            <w:pPr>
              <w:pStyle w:val="21"/>
              <w:ind w:firstLine="0" w:firstLineChars="0"/>
              <w:jc w:val="center"/>
              <w:rPr>
                <w:sz w:val="18"/>
                <w:szCs w:val="18"/>
              </w:rPr>
            </w:pPr>
            <w:r>
              <w:rPr>
                <w:rStyle w:val="133"/>
                <w:rFonts w:hAnsi="宋体" w:cs="宋体"/>
                <w:bCs/>
                <w:color w:val="000000"/>
                <w:sz w:val="18"/>
                <w:szCs w:val="18"/>
              </w:rPr>
              <w:t>窗户</w:t>
            </w:r>
          </w:p>
        </w:tc>
        <w:tc>
          <w:tcPr>
            <w:tcW w:w="6661" w:type="dxa"/>
            <w:tcBorders>
              <w:right w:val="single" w:color="auto" w:sz="12" w:space="0"/>
            </w:tcBorders>
            <w:shd w:val="clear" w:color="auto" w:fill="auto"/>
            <w:vAlign w:val="center"/>
          </w:tcPr>
          <w:p>
            <w:pPr>
              <w:pStyle w:val="21"/>
              <w:ind w:firstLine="0" w:firstLineChars="0"/>
              <w:jc w:val="left"/>
              <w:rPr>
                <w:sz w:val="18"/>
                <w:szCs w:val="18"/>
              </w:rPr>
            </w:pPr>
            <w:r>
              <w:rPr>
                <w:rFonts w:hint="eastAsia"/>
                <w:sz w:val="18"/>
                <w:szCs w:val="18"/>
              </w:rPr>
              <w:t>双层玻璃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28" w:type="dxa"/>
            <w:tcBorders>
              <w:left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5</w:t>
            </w:r>
          </w:p>
        </w:tc>
        <w:tc>
          <w:tcPr>
            <w:tcW w:w="1667" w:type="dxa"/>
            <w:shd w:val="clear" w:color="auto" w:fill="auto"/>
            <w:vAlign w:val="center"/>
          </w:tcPr>
          <w:p>
            <w:pPr>
              <w:pStyle w:val="21"/>
              <w:ind w:firstLine="0" w:firstLineChars="0"/>
              <w:jc w:val="center"/>
              <w:rPr>
                <w:sz w:val="18"/>
                <w:szCs w:val="18"/>
              </w:rPr>
            </w:pPr>
            <w:r>
              <w:rPr>
                <w:rStyle w:val="133"/>
                <w:rFonts w:hint="eastAsia" w:hAnsi="宋体" w:cs="宋体"/>
                <w:bCs/>
                <w:color w:val="000000"/>
                <w:sz w:val="18"/>
                <w:szCs w:val="18"/>
              </w:rPr>
              <w:t>给</w:t>
            </w:r>
            <w:r>
              <w:rPr>
                <w:rStyle w:val="133"/>
                <w:rFonts w:hAnsi="宋体" w:cs="宋体"/>
                <w:bCs/>
                <w:color w:val="000000"/>
                <w:sz w:val="18"/>
                <w:szCs w:val="18"/>
              </w:rPr>
              <w:t>水</w:t>
            </w:r>
          </w:p>
        </w:tc>
        <w:tc>
          <w:tcPr>
            <w:tcW w:w="6661" w:type="dxa"/>
            <w:tcBorders>
              <w:right w:val="single" w:color="auto" w:sz="12" w:space="0"/>
            </w:tcBorders>
            <w:shd w:val="clear" w:color="auto" w:fill="auto"/>
            <w:vAlign w:val="center"/>
          </w:tcPr>
          <w:p>
            <w:pPr>
              <w:pStyle w:val="21"/>
              <w:ind w:firstLine="0" w:firstLineChars="0"/>
              <w:jc w:val="left"/>
              <w:rPr>
                <w:sz w:val="18"/>
                <w:szCs w:val="18"/>
              </w:rPr>
            </w:pPr>
            <w:r>
              <w:rPr>
                <w:rStyle w:val="133"/>
                <w:rFonts w:hint="eastAsia" w:hAnsi="宋体" w:cs="宋体"/>
                <w:bCs/>
                <w:color w:val="000000"/>
                <w:sz w:val="18"/>
                <w:szCs w:val="18"/>
              </w:rPr>
              <w:t>优质</w:t>
            </w:r>
            <w:r>
              <w:rPr>
                <w:rStyle w:val="133"/>
                <w:rFonts w:hAnsi="宋体" w:cs="宋体"/>
                <w:bCs/>
                <w:color w:val="000000"/>
                <w:sz w:val="18"/>
                <w:szCs w:val="18"/>
              </w:rPr>
              <w:t>耐用管材，管径50</w:t>
            </w:r>
            <w:r>
              <w:rPr>
                <w:rStyle w:val="133"/>
                <w:rFonts w:hint="eastAsia" w:ascii="MS Gothic" w:hAnsi="MS Gothic" w:eastAsia="MS Gothic" w:cs="MS Gothic"/>
                <w:bCs/>
                <w:color w:val="000000"/>
                <w:sz w:val="18"/>
                <w:szCs w:val="18"/>
              </w:rPr>
              <w:t> </w:t>
            </w:r>
            <w:r>
              <w:rPr>
                <w:rStyle w:val="133"/>
                <w:rFonts w:hAnsi="宋体" w:cs="宋体"/>
                <w:bCs/>
                <w:color w:val="000000"/>
                <w:sz w:val="18"/>
                <w:szCs w:val="18"/>
              </w:rPr>
              <w:t>mm～90</w:t>
            </w:r>
            <w:r>
              <w:rPr>
                <w:rStyle w:val="133"/>
                <w:rFonts w:hint="eastAsia" w:ascii="MS Gothic" w:hAnsi="MS Gothic" w:eastAsia="MS Gothic" w:cs="MS Gothic"/>
                <w:bCs/>
                <w:color w:val="000000"/>
                <w:sz w:val="18"/>
                <w:szCs w:val="18"/>
              </w:rPr>
              <w:t> </w:t>
            </w:r>
            <w:r>
              <w:rPr>
                <w:rStyle w:val="133"/>
                <w:rFonts w:hAnsi="宋体" w:cs="宋体"/>
                <w:bCs/>
                <w:color w:val="000000"/>
                <w:sz w:val="18"/>
                <w:szCs w:val="18"/>
              </w:rPr>
              <w:t>mm</w:t>
            </w:r>
            <w:r>
              <w:rPr>
                <w:rFonts w:hint="eastAsia"/>
                <w:sz w:val="18"/>
                <w:szCs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28" w:type="dxa"/>
            <w:tcBorders>
              <w:left w:val="single" w:color="auto" w:sz="12" w:space="0"/>
            </w:tcBorders>
            <w:shd w:val="clear" w:color="auto" w:fill="auto"/>
            <w:vAlign w:val="center"/>
          </w:tcPr>
          <w:p>
            <w:pPr>
              <w:jc w:val="center"/>
              <w:rPr>
                <w:rStyle w:val="133"/>
                <w:rFonts w:ascii="宋体" w:hAnsi="宋体" w:cs="宋体"/>
                <w:bCs/>
                <w:color w:val="000000"/>
                <w:kern w:val="0"/>
                <w:sz w:val="18"/>
                <w:szCs w:val="18"/>
              </w:rPr>
            </w:pPr>
            <w:r>
              <w:rPr>
                <w:rStyle w:val="133"/>
                <w:rFonts w:hint="eastAsia" w:ascii="宋体" w:hAnsi="宋体" w:cs="宋体"/>
                <w:bCs/>
                <w:color w:val="000000"/>
                <w:kern w:val="0"/>
                <w:sz w:val="18"/>
                <w:szCs w:val="18"/>
              </w:rPr>
              <w:t>6</w:t>
            </w:r>
          </w:p>
        </w:tc>
        <w:tc>
          <w:tcPr>
            <w:tcW w:w="1667" w:type="dxa"/>
            <w:shd w:val="clear" w:color="auto" w:fill="auto"/>
            <w:vAlign w:val="center"/>
          </w:tcPr>
          <w:p>
            <w:pPr>
              <w:jc w:val="center"/>
              <w:rPr>
                <w:rStyle w:val="133"/>
                <w:rFonts w:ascii="宋体" w:hAnsi="宋体" w:cs="宋体"/>
                <w:bCs/>
                <w:color w:val="000000"/>
                <w:kern w:val="0"/>
                <w:sz w:val="18"/>
                <w:szCs w:val="18"/>
              </w:rPr>
            </w:pPr>
            <w:r>
              <w:rPr>
                <w:rStyle w:val="133"/>
                <w:rFonts w:ascii="宋体" w:hAnsi="宋体" w:cs="宋体"/>
                <w:bCs/>
                <w:color w:val="000000"/>
                <w:kern w:val="0"/>
                <w:sz w:val="18"/>
                <w:szCs w:val="18"/>
              </w:rPr>
              <w:t>排水</w:t>
            </w:r>
          </w:p>
        </w:tc>
        <w:tc>
          <w:tcPr>
            <w:tcW w:w="6661" w:type="dxa"/>
            <w:tcBorders>
              <w:right w:val="single" w:color="auto" w:sz="12" w:space="0"/>
            </w:tcBorders>
            <w:shd w:val="clear" w:color="auto" w:fill="auto"/>
            <w:vAlign w:val="center"/>
          </w:tcPr>
          <w:p>
            <w:pPr>
              <w:rPr>
                <w:rStyle w:val="133"/>
                <w:rFonts w:ascii="宋体" w:hAnsi="宋体" w:cs="宋体"/>
                <w:bCs/>
                <w:color w:val="000000"/>
                <w:kern w:val="0"/>
                <w:sz w:val="18"/>
                <w:szCs w:val="18"/>
              </w:rPr>
            </w:pPr>
            <w:r>
              <w:rPr>
                <w:rStyle w:val="133"/>
                <w:rFonts w:hint="eastAsia" w:ascii="宋体" w:hAnsi="宋体" w:cs="宋体"/>
                <w:bCs/>
                <w:color w:val="000000"/>
                <w:kern w:val="0"/>
                <w:sz w:val="18"/>
                <w:szCs w:val="18"/>
              </w:rPr>
              <w:t>优质</w:t>
            </w:r>
            <w:r>
              <w:rPr>
                <w:rStyle w:val="133"/>
                <w:rFonts w:ascii="宋体" w:hAnsi="宋体" w:cs="宋体"/>
                <w:bCs/>
                <w:color w:val="000000"/>
                <w:kern w:val="0"/>
                <w:sz w:val="18"/>
                <w:szCs w:val="18"/>
              </w:rPr>
              <w:t>耐用排水沟</w:t>
            </w:r>
            <w:r>
              <w:rPr>
                <w:rStyle w:val="133"/>
                <w:rFonts w:hint="eastAsia" w:ascii="宋体" w:hAnsi="宋体" w:cs="宋体"/>
                <w:bCs/>
                <w:color w:val="000000"/>
                <w:kern w:val="0"/>
                <w:sz w:val="18"/>
                <w:szCs w:val="18"/>
              </w:rPr>
              <w:t>大于</w:t>
            </w:r>
            <w:r>
              <w:rPr>
                <w:rStyle w:val="133"/>
                <w:rFonts w:ascii="宋体" w:hAnsi="宋体" w:cs="宋体"/>
                <w:bCs/>
                <w:color w:val="000000"/>
                <w:kern w:val="0"/>
                <w:sz w:val="18"/>
                <w:szCs w:val="18"/>
              </w:rPr>
              <w:t>200 mm，带水封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28" w:type="dxa"/>
            <w:tcBorders>
              <w:left w:val="single" w:color="auto" w:sz="12" w:space="0"/>
            </w:tcBorders>
            <w:shd w:val="clear" w:color="auto" w:fill="auto"/>
            <w:vAlign w:val="center"/>
          </w:tcPr>
          <w:p>
            <w:pPr>
              <w:jc w:val="center"/>
              <w:rPr>
                <w:rStyle w:val="133"/>
                <w:rFonts w:ascii="宋体" w:hAnsi="宋体" w:cs="宋体"/>
                <w:bCs/>
                <w:color w:val="000000"/>
                <w:kern w:val="0"/>
                <w:sz w:val="18"/>
                <w:szCs w:val="18"/>
              </w:rPr>
            </w:pPr>
            <w:r>
              <w:rPr>
                <w:rStyle w:val="133"/>
                <w:rFonts w:hint="eastAsia" w:ascii="宋体" w:hAnsi="宋体" w:cs="宋体"/>
                <w:bCs/>
                <w:color w:val="000000"/>
                <w:kern w:val="0"/>
                <w:sz w:val="18"/>
                <w:szCs w:val="18"/>
              </w:rPr>
              <w:t>7</w:t>
            </w:r>
          </w:p>
        </w:tc>
        <w:tc>
          <w:tcPr>
            <w:tcW w:w="1667" w:type="dxa"/>
            <w:shd w:val="clear" w:color="auto" w:fill="auto"/>
            <w:vAlign w:val="center"/>
          </w:tcPr>
          <w:p>
            <w:pPr>
              <w:jc w:val="center"/>
              <w:rPr>
                <w:rStyle w:val="133"/>
                <w:rFonts w:ascii="宋体" w:hAnsi="宋体" w:cs="宋体"/>
                <w:bCs/>
                <w:color w:val="000000"/>
                <w:kern w:val="0"/>
                <w:sz w:val="18"/>
                <w:szCs w:val="18"/>
              </w:rPr>
            </w:pPr>
            <w:r>
              <w:rPr>
                <w:rStyle w:val="133"/>
                <w:rFonts w:hint="eastAsia" w:ascii="宋体" w:hAnsi="宋体" w:cs="宋体"/>
                <w:bCs/>
                <w:color w:val="000000"/>
                <w:kern w:val="0"/>
                <w:sz w:val="18"/>
                <w:szCs w:val="18"/>
              </w:rPr>
              <w:t>地漏</w:t>
            </w:r>
          </w:p>
        </w:tc>
        <w:tc>
          <w:tcPr>
            <w:tcW w:w="6661" w:type="dxa"/>
            <w:tcBorders>
              <w:right w:val="single" w:color="auto" w:sz="12" w:space="0"/>
            </w:tcBorders>
            <w:shd w:val="clear" w:color="auto" w:fill="auto"/>
            <w:vAlign w:val="center"/>
          </w:tcPr>
          <w:p>
            <w:pPr>
              <w:rPr>
                <w:rStyle w:val="133"/>
                <w:rFonts w:ascii="宋体" w:hAnsi="宋体" w:cs="宋体"/>
                <w:bCs/>
                <w:color w:val="000000"/>
                <w:kern w:val="0"/>
                <w:sz w:val="18"/>
                <w:szCs w:val="18"/>
              </w:rPr>
            </w:pPr>
            <w:r>
              <w:rPr>
                <w:rStyle w:val="133"/>
                <w:rFonts w:ascii="宋体" w:hAnsi="宋体" w:cs="宋体"/>
                <w:bCs/>
                <w:color w:val="000000"/>
                <w:kern w:val="0"/>
                <w:sz w:val="18"/>
                <w:szCs w:val="18"/>
              </w:rPr>
              <w:t>防臭、防堵塞、防干涸、易清理，带水封地漏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28" w:type="dxa"/>
            <w:tcBorders>
              <w:left w:val="single" w:color="auto" w:sz="12" w:space="0"/>
              <w:bottom w:val="single" w:color="auto" w:sz="4" w:space="0"/>
            </w:tcBorders>
            <w:shd w:val="clear" w:color="auto" w:fill="auto"/>
            <w:vAlign w:val="center"/>
          </w:tcPr>
          <w:p>
            <w:pPr>
              <w:jc w:val="center"/>
              <w:rPr>
                <w:rStyle w:val="133"/>
                <w:rFonts w:ascii="宋体" w:hAnsi="宋体" w:cs="宋体"/>
                <w:bCs/>
                <w:color w:val="000000"/>
                <w:kern w:val="0"/>
                <w:sz w:val="18"/>
                <w:szCs w:val="18"/>
              </w:rPr>
            </w:pPr>
            <w:r>
              <w:rPr>
                <w:rStyle w:val="133"/>
                <w:rFonts w:hint="eastAsia" w:ascii="宋体" w:hAnsi="宋体" w:cs="宋体"/>
                <w:bCs/>
                <w:color w:val="000000"/>
                <w:kern w:val="0"/>
                <w:sz w:val="18"/>
                <w:szCs w:val="18"/>
              </w:rPr>
              <w:t>8</w:t>
            </w:r>
          </w:p>
        </w:tc>
        <w:tc>
          <w:tcPr>
            <w:tcW w:w="1667" w:type="dxa"/>
            <w:tcBorders>
              <w:bottom w:val="single" w:color="auto" w:sz="4" w:space="0"/>
            </w:tcBorders>
            <w:shd w:val="clear" w:color="auto" w:fill="auto"/>
            <w:vAlign w:val="center"/>
          </w:tcPr>
          <w:p>
            <w:pPr>
              <w:jc w:val="center"/>
              <w:rPr>
                <w:rStyle w:val="133"/>
                <w:rFonts w:ascii="宋体" w:hAnsi="宋体" w:cs="宋体"/>
                <w:bCs/>
                <w:color w:val="000000"/>
                <w:kern w:val="0"/>
                <w:sz w:val="18"/>
                <w:szCs w:val="18"/>
              </w:rPr>
            </w:pPr>
            <w:r>
              <w:rPr>
                <w:rStyle w:val="133"/>
                <w:rFonts w:ascii="宋体" w:hAnsi="宋体" w:cs="宋体"/>
                <w:bCs/>
                <w:color w:val="000000"/>
                <w:kern w:val="0"/>
                <w:sz w:val="18"/>
                <w:szCs w:val="18"/>
              </w:rPr>
              <w:t>大便厕位隔断</w:t>
            </w:r>
          </w:p>
        </w:tc>
        <w:tc>
          <w:tcPr>
            <w:tcW w:w="6661" w:type="dxa"/>
            <w:tcBorders>
              <w:bottom w:val="single" w:color="auto" w:sz="4" w:space="0"/>
              <w:right w:val="single" w:color="auto" w:sz="12" w:space="0"/>
            </w:tcBorders>
            <w:shd w:val="clear" w:color="auto" w:fill="auto"/>
            <w:vAlign w:val="center"/>
          </w:tcPr>
          <w:p>
            <w:pPr>
              <w:rPr>
                <w:rStyle w:val="133"/>
                <w:rFonts w:ascii="宋体" w:hAnsi="宋体" w:cs="宋体"/>
                <w:bCs/>
                <w:color w:val="000000"/>
                <w:kern w:val="0"/>
                <w:sz w:val="18"/>
                <w:szCs w:val="18"/>
              </w:rPr>
            </w:pPr>
            <w:r>
              <w:rPr>
                <w:rStyle w:val="133"/>
                <w:rFonts w:ascii="宋体" w:hAnsi="宋体" w:cs="宋体"/>
                <w:bCs/>
                <w:color w:val="000000"/>
                <w:kern w:val="0"/>
                <w:sz w:val="18"/>
                <w:szCs w:val="18"/>
              </w:rPr>
              <w:t>防划、</w:t>
            </w:r>
            <w:r>
              <w:rPr>
                <w:rStyle w:val="133"/>
                <w:rFonts w:hint="eastAsia" w:ascii="宋体" w:hAnsi="宋体" w:cs="宋体"/>
                <w:bCs/>
                <w:color w:val="000000"/>
                <w:kern w:val="0"/>
                <w:sz w:val="18"/>
                <w:szCs w:val="18"/>
              </w:rPr>
              <w:t>防滑</w:t>
            </w:r>
            <w:r>
              <w:rPr>
                <w:rStyle w:val="133"/>
                <w:rFonts w:ascii="宋体" w:hAnsi="宋体" w:cs="宋体"/>
                <w:bCs/>
                <w:color w:val="000000"/>
                <w:kern w:val="0"/>
                <w:sz w:val="18"/>
                <w:szCs w:val="18"/>
              </w:rPr>
              <w:t>、防烫、易擦洗、环保的高档新材料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28" w:type="dxa"/>
            <w:tcBorders>
              <w:top w:val="single" w:color="auto" w:sz="4" w:space="0"/>
              <w:left w:val="single" w:color="auto" w:sz="12" w:space="0"/>
            </w:tcBorders>
            <w:shd w:val="clear" w:color="auto" w:fill="auto"/>
            <w:vAlign w:val="center"/>
          </w:tcPr>
          <w:p>
            <w:pPr>
              <w:jc w:val="center"/>
              <w:rPr>
                <w:rStyle w:val="133"/>
                <w:rFonts w:ascii="宋体" w:hAnsi="宋体" w:cs="宋体"/>
                <w:bCs/>
                <w:color w:val="000000"/>
                <w:kern w:val="0"/>
                <w:sz w:val="18"/>
                <w:szCs w:val="18"/>
              </w:rPr>
            </w:pPr>
            <w:r>
              <w:rPr>
                <w:rStyle w:val="133"/>
                <w:rFonts w:hint="eastAsia" w:ascii="宋体" w:hAnsi="宋体" w:cs="宋体"/>
                <w:bCs/>
                <w:color w:val="000000"/>
                <w:kern w:val="0"/>
                <w:sz w:val="18"/>
                <w:szCs w:val="18"/>
              </w:rPr>
              <w:t>9</w:t>
            </w:r>
          </w:p>
        </w:tc>
        <w:tc>
          <w:tcPr>
            <w:tcW w:w="1667" w:type="dxa"/>
            <w:tcBorders>
              <w:top w:val="single" w:color="auto" w:sz="4" w:space="0"/>
            </w:tcBorders>
            <w:shd w:val="clear" w:color="auto" w:fill="auto"/>
            <w:vAlign w:val="center"/>
          </w:tcPr>
          <w:p>
            <w:pPr>
              <w:jc w:val="center"/>
              <w:rPr>
                <w:rStyle w:val="133"/>
                <w:rFonts w:ascii="宋体" w:hAnsi="宋体" w:cs="宋体"/>
                <w:bCs/>
                <w:color w:val="000000"/>
                <w:kern w:val="0"/>
                <w:sz w:val="18"/>
                <w:szCs w:val="18"/>
              </w:rPr>
            </w:pPr>
            <w:r>
              <w:rPr>
                <w:rStyle w:val="133"/>
                <w:rFonts w:ascii="宋体" w:hAnsi="宋体" w:cs="宋体"/>
                <w:bCs/>
                <w:color w:val="000000"/>
                <w:kern w:val="0"/>
                <w:sz w:val="18"/>
                <w:szCs w:val="18"/>
              </w:rPr>
              <w:t>大便厕位门</w:t>
            </w:r>
          </w:p>
        </w:tc>
        <w:tc>
          <w:tcPr>
            <w:tcW w:w="6661" w:type="dxa"/>
            <w:tcBorders>
              <w:top w:val="single" w:color="auto" w:sz="4" w:space="0"/>
              <w:right w:val="single" w:color="auto" w:sz="12" w:space="0"/>
            </w:tcBorders>
            <w:shd w:val="clear" w:color="auto" w:fill="auto"/>
            <w:vAlign w:val="center"/>
          </w:tcPr>
          <w:p>
            <w:pPr>
              <w:rPr>
                <w:rStyle w:val="133"/>
                <w:rFonts w:ascii="宋体" w:hAnsi="宋体" w:cs="宋体"/>
                <w:bCs/>
                <w:color w:val="000000"/>
                <w:kern w:val="0"/>
                <w:sz w:val="18"/>
                <w:szCs w:val="18"/>
              </w:rPr>
            </w:pPr>
            <w:r>
              <w:rPr>
                <w:rStyle w:val="133"/>
                <w:rFonts w:hint="eastAsia" w:ascii="宋体" w:hAnsi="宋体" w:cs="宋体"/>
                <w:bCs/>
                <w:color w:val="000000"/>
                <w:kern w:val="0"/>
                <w:sz w:val="18"/>
                <w:szCs w:val="18"/>
              </w:rPr>
              <w:t>防潮、防烫、防腐、易擦洗、环保材料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28" w:type="dxa"/>
            <w:tcBorders>
              <w:left w:val="single" w:color="auto" w:sz="12" w:space="0"/>
            </w:tcBorders>
            <w:shd w:val="clear" w:color="auto" w:fill="auto"/>
            <w:vAlign w:val="center"/>
          </w:tcPr>
          <w:p>
            <w:pPr>
              <w:jc w:val="center"/>
              <w:rPr>
                <w:rStyle w:val="133"/>
                <w:rFonts w:ascii="宋体" w:hAnsi="宋体" w:cs="宋体"/>
                <w:bCs/>
                <w:color w:val="000000"/>
                <w:kern w:val="0"/>
                <w:sz w:val="18"/>
                <w:szCs w:val="18"/>
              </w:rPr>
            </w:pPr>
            <w:r>
              <w:rPr>
                <w:rStyle w:val="133"/>
                <w:rFonts w:hint="eastAsia" w:ascii="宋体" w:hAnsi="宋体" w:cs="宋体"/>
                <w:bCs/>
                <w:color w:val="000000"/>
                <w:kern w:val="0"/>
                <w:sz w:val="18"/>
                <w:szCs w:val="18"/>
              </w:rPr>
              <w:t>10</w:t>
            </w:r>
          </w:p>
        </w:tc>
        <w:tc>
          <w:tcPr>
            <w:tcW w:w="1667" w:type="dxa"/>
            <w:shd w:val="clear" w:color="auto" w:fill="auto"/>
            <w:vAlign w:val="center"/>
          </w:tcPr>
          <w:p>
            <w:pPr>
              <w:jc w:val="center"/>
              <w:rPr>
                <w:rStyle w:val="133"/>
                <w:rFonts w:ascii="宋体" w:hAnsi="宋体" w:cs="宋体"/>
                <w:bCs/>
                <w:color w:val="000000"/>
                <w:kern w:val="0"/>
                <w:sz w:val="18"/>
                <w:szCs w:val="18"/>
              </w:rPr>
            </w:pPr>
            <w:r>
              <w:rPr>
                <w:rStyle w:val="133"/>
                <w:rFonts w:ascii="宋体" w:hAnsi="宋体" w:cs="宋体"/>
                <w:bCs/>
                <w:color w:val="000000"/>
                <w:kern w:val="0"/>
                <w:sz w:val="18"/>
                <w:szCs w:val="18"/>
              </w:rPr>
              <w:t>小便站位隔板</w:t>
            </w:r>
          </w:p>
        </w:tc>
        <w:tc>
          <w:tcPr>
            <w:tcW w:w="6661" w:type="dxa"/>
            <w:tcBorders>
              <w:right w:val="single" w:color="auto" w:sz="12" w:space="0"/>
            </w:tcBorders>
            <w:shd w:val="clear" w:color="auto" w:fill="auto"/>
            <w:vAlign w:val="center"/>
          </w:tcPr>
          <w:p>
            <w:pPr>
              <w:rPr>
                <w:rStyle w:val="133"/>
                <w:rFonts w:ascii="宋体" w:hAnsi="宋体" w:cs="宋体"/>
                <w:bCs/>
                <w:color w:val="000000"/>
                <w:kern w:val="0"/>
                <w:sz w:val="18"/>
                <w:szCs w:val="18"/>
              </w:rPr>
            </w:pPr>
            <w:r>
              <w:rPr>
                <w:rStyle w:val="133"/>
                <w:rFonts w:ascii="宋体" w:hAnsi="宋体" w:cs="宋体"/>
                <w:bCs/>
                <w:color w:val="000000"/>
                <w:kern w:val="0"/>
                <w:sz w:val="18"/>
                <w:szCs w:val="18"/>
              </w:rPr>
              <w:t>防潮、防烫、防腐、易擦洗、环保材料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28" w:type="dxa"/>
            <w:tcBorders>
              <w:left w:val="single" w:color="auto" w:sz="12" w:space="0"/>
              <w:bottom w:val="single" w:color="auto" w:sz="12" w:space="0"/>
            </w:tcBorders>
            <w:shd w:val="clear" w:color="auto" w:fill="auto"/>
            <w:vAlign w:val="center"/>
          </w:tcPr>
          <w:p>
            <w:pPr>
              <w:jc w:val="center"/>
              <w:rPr>
                <w:rStyle w:val="133"/>
                <w:rFonts w:ascii="宋体" w:hAnsi="宋体" w:cs="宋体"/>
                <w:bCs/>
                <w:color w:val="000000"/>
                <w:kern w:val="0"/>
                <w:sz w:val="18"/>
                <w:szCs w:val="18"/>
              </w:rPr>
            </w:pPr>
            <w:r>
              <w:rPr>
                <w:rStyle w:val="133"/>
                <w:rFonts w:hint="eastAsia" w:ascii="宋体" w:hAnsi="宋体" w:cs="宋体"/>
                <w:bCs/>
                <w:color w:val="000000"/>
                <w:kern w:val="0"/>
                <w:sz w:val="18"/>
                <w:szCs w:val="18"/>
              </w:rPr>
              <w:t>11</w:t>
            </w:r>
          </w:p>
        </w:tc>
        <w:tc>
          <w:tcPr>
            <w:tcW w:w="1667" w:type="dxa"/>
            <w:tcBorders>
              <w:bottom w:val="single" w:color="auto" w:sz="12" w:space="0"/>
            </w:tcBorders>
            <w:shd w:val="clear" w:color="auto" w:fill="auto"/>
            <w:vAlign w:val="center"/>
          </w:tcPr>
          <w:p>
            <w:pPr>
              <w:jc w:val="center"/>
              <w:rPr>
                <w:rStyle w:val="133"/>
                <w:rFonts w:ascii="宋体" w:hAnsi="宋体" w:cs="宋体"/>
                <w:bCs/>
                <w:color w:val="000000"/>
                <w:kern w:val="0"/>
                <w:sz w:val="18"/>
                <w:szCs w:val="18"/>
              </w:rPr>
            </w:pPr>
            <w:r>
              <w:rPr>
                <w:rStyle w:val="133"/>
                <w:rFonts w:ascii="宋体" w:hAnsi="宋体" w:cs="宋体"/>
                <w:bCs/>
                <w:color w:val="000000"/>
                <w:kern w:val="0"/>
                <w:sz w:val="18"/>
                <w:szCs w:val="18"/>
              </w:rPr>
              <w:t>无障碍</w:t>
            </w:r>
            <w:r>
              <w:rPr>
                <w:rStyle w:val="133"/>
                <w:rFonts w:hint="eastAsia" w:ascii="宋体" w:hAnsi="宋体" w:cs="宋体"/>
                <w:bCs/>
                <w:color w:val="000000"/>
                <w:kern w:val="0"/>
                <w:sz w:val="18"/>
                <w:szCs w:val="18"/>
              </w:rPr>
              <w:t>扶手</w:t>
            </w:r>
          </w:p>
        </w:tc>
        <w:tc>
          <w:tcPr>
            <w:tcW w:w="6661" w:type="dxa"/>
            <w:tcBorders>
              <w:bottom w:val="single" w:color="auto" w:sz="12" w:space="0"/>
              <w:right w:val="single" w:color="auto" w:sz="12" w:space="0"/>
            </w:tcBorders>
            <w:shd w:val="clear" w:color="auto" w:fill="auto"/>
            <w:vAlign w:val="center"/>
          </w:tcPr>
          <w:p>
            <w:pPr>
              <w:rPr>
                <w:rStyle w:val="133"/>
                <w:rFonts w:ascii="宋体" w:hAnsi="宋体" w:cs="宋体"/>
                <w:bCs/>
                <w:color w:val="000000"/>
                <w:kern w:val="0"/>
                <w:sz w:val="18"/>
                <w:szCs w:val="18"/>
              </w:rPr>
            </w:pPr>
            <w:r>
              <w:rPr>
                <w:rStyle w:val="133"/>
                <w:rFonts w:ascii="宋体" w:hAnsi="宋体" w:cs="宋体"/>
                <w:bCs/>
                <w:color w:val="000000"/>
                <w:kern w:val="0"/>
                <w:sz w:val="18"/>
                <w:szCs w:val="18"/>
              </w:rPr>
              <w:t>不锈钢</w:t>
            </w:r>
          </w:p>
        </w:tc>
      </w:tr>
    </w:tbl>
    <w:p>
      <w:pPr>
        <w:pStyle w:val="37"/>
      </w:pPr>
      <w:bookmarkStart w:id="85" w:name="_Toc115169976"/>
      <w:bookmarkStart w:id="86" w:name="_Toc117168599"/>
      <w:bookmarkStart w:id="87" w:name="_Toc129092903"/>
      <w:bookmarkStart w:id="88" w:name="_Toc129093087"/>
      <w:bookmarkStart w:id="89" w:name="_Toc116553081"/>
      <w:bookmarkStart w:id="90" w:name="_Toc115276283"/>
      <w:bookmarkStart w:id="91" w:name="_Toc115170043"/>
      <w:bookmarkStart w:id="92" w:name="_Toc115257560"/>
      <w:r>
        <w:rPr>
          <w:rFonts w:hint="eastAsia"/>
        </w:rPr>
        <w:t>施工与验收</w:t>
      </w:r>
      <w:bookmarkEnd w:id="85"/>
      <w:r>
        <w:rPr>
          <w:rFonts w:hint="eastAsia"/>
        </w:rPr>
        <w:t>要求</w:t>
      </w:r>
      <w:bookmarkEnd w:id="86"/>
      <w:bookmarkEnd w:id="87"/>
      <w:bookmarkEnd w:id="88"/>
      <w:bookmarkEnd w:id="89"/>
      <w:bookmarkEnd w:id="90"/>
      <w:bookmarkEnd w:id="91"/>
      <w:bookmarkEnd w:id="92"/>
    </w:p>
    <w:p>
      <w:pPr>
        <w:pStyle w:val="41"/>
        <w:spacing w:before="156" w:after="156"/>
      </w:pPr>
      <w:r>
        <w:rPr>
          <w:rFonts w:hint="eastAsia"/>
        </w:rPr>
        <w:t>总体要求</w:t>
      </w:r>
    </w:p>
    <w:p>
      <w:pPr>
        <w:pStyle w:val="21"/>
      </w:pPr>
      <w:bookmarkStart w:id="93" w:name="_Toc87625797"/>
      <w:bookmarkStart w:id="94" w:name="_Toc87625928"/>
      <w:bookmarkStart w:id="95" w:name="_Toc89092946"/>
      <w:r>
        <w:rPr>
          <w:rFonts w:hint="eastAsia"/>
        </w:rPr>
        <w:t>驿站建筑工程施工质量的验收应符合GB 50300的规定。</w:t>
      </w:r>
    </w:p>
    <w:p>
      <w:pPr>
        <w:pStyle w:val="41"/>
        <w:spacing w:before="156" w:after="156"/>
      </w:pPr>
      <w:r>
        <w:rPr>
          <w:rFonts w:hint="eastAsia"/>
        </w:rPr>
        <w:t>地基与基础</w:t>
      </w:r>
    </w:p>
    <w:p>
      <w:pPr>
        <w:pStyle w:val="21"/>
      </w:pPr>
      <w:r>
        <w:rPr>
          <w:rFonts w:hint="eastAsia"/>
        </w:rPr>
        <w:t>驿站地基与基础工程的施工和验收应符合</w:t>
      </w:r>
      <w:r>
        <w:t>GB</w:t>
      </w:r>
      <w:r>
        <w:rPr>
          <w:rFonts w:hint="eastAsia"/>
        </w:rPr>
        <w:t xml:space="preserve"> </w:t>
      </w:r>
      <w:r>
        <w:t>51004</w:t>
      </w:r>
      <w:r>
        <w:rPr>
          <w:rFonts w:hint="eastAsia"/>
        </w:rPr>
        <w:t>及GB 50202的规定。</w:t>
      </w:r>
    </w:p>
    <w:p>
      <w:pPr>
        <w:pStyle w:val="41"/>
        <w:spacing w:before="156" w:after="156"/>
      </w:pPr>
      <w:r>
        <w:rPr>
          <w:rFonts w:hint="eastAsia"/>
        </w:rPr>
        <w:t>主体结构</w:t>
      </w:r>
    </w:p>
    <w:p>
      <w:pPr>
        <w:pStyle w:val="21"/>
      </w:pPr>
      <w:r>
        <w:rPr>
          <w:rFonts w:hint="eastAsia"/>
        </w:rPr>
        <w:t>按照工程结构材料的不同，驿站主体结构的施工和验收应分别符合以下规定：</w:t>
      </w:r>
    </w:p>
    <w:p>
      <w:pPr>
        <w:pStyle w:val="54"/>
        <w:numPr>
          <w:ilvl w:val="0"/>
          <w:numId w:val="11"/>
        </w:numPr>
      </w:pPr>
      <w:r>
        <w:rPr>
          <w:rFonts w:hint="eastAsia"/>
        </w:rPr>
        <w:t>混凝土结构的施工和验收应符合GB 50666及GB 50204的规定；</w:t>
      </w:r>
    </w:p>
    <w:p>
      <w:pPr>
        <w:pStyle w:val="54"/>
        <w:numPr>
          <w:ilvl w:val="0"/>
          <w:numId w:val="11"/>
        </w:numPr>
      </w:pPr>
      <w:r>
        <w:rPr>
          <w:rFonts w:hint="eastAsia"/>
        </w:rPr>
        <w:t>砌体结构的施工和验收应符合GB 50924及</w:t>
      </w:r>
      <w:r>
        <w:t>GB</w:t>
      </w:r>
      <w:r>
        <w:rPr>
          <w:rFonts w:hint="eastAsia"/>
        </w:rPr>
        <w:t xml:space="preserve"> </w:t>
      </w:r>
      <w:r>
        <w:t>50</w:t>
      </w:r>
      <w:r>
        <w:rPr>
          <w:rFonts w:hint="eastAsia"/>
        </w:rPr>
        <w:t>2</w:t>
      </w:r>
      <w:r>
        <w:t>03</w:t>
      </w:r>
      <w:r>
        <w:rPr>
          <w:rFonts w:hint="eastAsia"/>
        </w:rPr>
        <w:t>的规定；</w:t>
      </w:r>
    </w:p>
    <w:p>
      <w:pPr>
        <w:pStyle w:val="54"/>
        <w:numPr>
          <w:ilvl w:val="0"/>
          <w:numId w:val="11"/>
        </w:numPr>
      </w:pPr>
      <w:r>
        <w:rPr>
          <w:rFonts w:hint="eastAsia"/>
        </w:rPr>
        <w:t>钢结构的施工和验收应符合GB 50755及GB 50205的规定；</w:t>
      </w:r>
    </w:p>
    <w:p>
      <w:pPr>
        <w:pStyle w:val="54"/>
        <w:numPr>
          <w:ilvl w:val="0"/>
          <w:numId w:val="11"/>
        </w:numPr>
      </w:pPr>
      <w:r>
        <w:rPr>
          <w:rFonts w:hint="eastAsia"/>
        </w:rPr>
        <w:t>木结构的施工和验收应符合GB/T 50772及GB 50206的规定。</w:t>
      </w:r>
    </w:p>
    <w:p>
      <w:pPr>
        <w:pStyle w:val="41"/>
        <w:spacing w:before="156" w:after="156"/>
      </w:pPr>
      <w:r>
        <w:rPr>
          <w:rFonts w:hint="eastAsia"/>
        </w:rPr>
        <w:t>建筑装饰装修</w:t>
      </w:r>
    </w:p>
    <w:p>
      <w:pPr>
        <w:pStyle w:val="21"/>
      </w:pPr>
      <w:r>
        <w:rPr>
          <w:rFonts w:hint="eastAsia"/>
        </w:rPr>
        <w:t>驿站建筑装饰装修工程的施工和验收应符合GB 50209及GB 50210的规定。</w:t>
      </w:r>
      <w:bookmarkEnd w:id="93"/>
      <w:bookmarkEnd w:id="94"/>
      <w:bookmarkEnd w:id="95"/>
    </w:p>
    <w:p>
      <w:pPr>
        <w:pStyle w:val="41"/>
        <w:spacing w:before="156" w:after="156"/>
      </w:pPr>
      <w:r>
        <w:rPr>
          <w:rFonts w:hint="eastAsia"/>
        </w:rPr>
        <w:t>屋面</w:t>
      </w:r>
    </w:p>
    <w:p>
      <w:pPr>
        <w:pStyle w:val="21"/>
      </w:pPr>
      <w:r>
        <w:rPr>
          <w:rFonts w:hint="eastAsia"/>
        </w:rPr>
        <w:t>驿站屋面工程的施工和验收应符合GB 50345及GB 50207的规定</w:t>
      </w:r>
    </w:p>
    <w:p>
      <w:pPr>
        <w:pStyle w:val="41"/>
        <w:spacing w:before="156" w:after="156"/>
      </w:pPr>
      <w:r>
        <w:rPr>
          <w:rFonts w:hint="eastAsia"/>
        </w:rPr>
        <w:t>给排水及卫生设备</w:t>
      </w:r>
    </w:p>
    <w:p>
      <w:pPr>
        <w:pStyle w:val="21"/>
      </w:pPr>
      <w:bookmarkStart w:id="96" w:name="_Toc87625930"/>
      <w:bookmarkStart w:id="97" w:name="_Toc89092948"/>
      <w:bookmarkStart w:id="98" w:name="_Toc87625799"/>
      <w:r>
        <w:rPr>
          <w:rFonts w:hint="eastAsia"/>
        </w:rPr>
        <w:t>驿站</w:t>
      </w:r>
      <w:r>
        <w:t>给</w:t>
      </w:r>
      <w:r>
        <w:rPr>
          <w:rFonts w:hint="eastAsia"/>
        </w:rPr>
        <w:t>水、排</w:t>
      </w:r>
      <w:r>
        <w:t>水</w:t>
      </w:r>
      <w:r>
        <w:rPr>
          <w:rFonts w:hint="eastAsia"/>
        </w:rPr>
        <w:t>工程及卫生设备</w:t>
      </w:r>
      <w:r>
        <w:t>的安装与验收</w:t>
      </w:r>
      <w:bookmarkEnd w:id="96"/>
      <w:bookmarkEnd w:id="97"/>
      <w:bookmarkEnd w:id="98"/>
      <w:bookmarkStart w:id="99" w:name="_Toc89092949"/>
      <w:bookmarkStart w:id="100" w:name="_Toc87625931"/>
      <w:bookmarkStart w:id="101" w:name="_Toc87625800"/>
      <w:r>
        <w:rPr>
          <w:rFonts w:hint="eastAsia"/>
        </w:rPr>
        <w:t>应</w:t>
      </w:r>
      <w:r>
        <w:t>符合GB 50242</w:t>
      </w:r>
      <w:r>
        <w:rPr>
          <w:rFonts w:hint="eastAsia"/>
        </w:rPr>
        <w:t>及CJJ 14—2016中4.5</w:t>
      </w:r>
      <w:r>
        <w:t>的规定。</w:t>
      </w:r>
      <w:bookmarkEnd w:id="99"/>
      <w:bookmarkEnd w:id="100"/>
      <w:bookmarkEnd w:id="101"/>
      <w:bookmarkStart w:id="102" w:name="_Toc87625801"/>
      <w:bookmarkStart w:id="103" w:name="_Toc87625932"/>
    </w:p>
    <w:p>
      <w:pPr>
        <w:pStyle w:val="41"/>
        <w:spacing w:before="156" w:after="156"/>
      </w:pPr>
      <w:r>
        <w:rPr>
          <w:rFonts w:hint="eastAsia"/>
        </w:rPr>
        <w:t>通风与空调</w:t>
      </w:r>
    </w:p>
    <w:p>
      <w:pPr>
        <w:pStyle w:val="21"/>
      </w:pPr>
      <w:r>
        <w:rPr>
          <w:rFonts w:hint="eastAsia"/>
        </w:rPr>
        <w:t>驿站通风与空调工程的施工和验收应符合</w:t>
      </w:r>
      <w:r>
        <w:t>GB</w:t>
      </w:r>
      <w:r>
        <w:rPr>
          <w:rFonts w:hint="eastAsia"/>
        </w:rPr>
        <w:t xml:space="preserve"> </w:t>
      </w:r>
      <w:r>
        <w:t>50738</w:t>
      </w:r>
      <w:r>
        <w:rPr>
          <w:rFonts w:hint="eastAsia"/>
        </w:rPr>
        <w:t>及</w:t>
      </w:r>
      <w:r>
        <w:t>GB</w:t>
      </w:r>
      <w:r>
        <w:rPr>
          <w:rFonts w:hint="eastAsia"/>
        </w:rPr>
        <w:t xml:space="preserve"> </w:t>
      </w:r>
      <w:r>
        <w:t>50243</w:t>
      </w:r>
      <w:r>
        <w:rPr>
          <w:rFonts w:hint="eastAsia"/>
        </w:rPr>
        <w:t>的规定。</w:t>
      </w:r>
    </w:p>
    <w:p>
      <w:pPr>
        <w:pStyle w:val="41"/>
        <w:spacing w:before="156" w:after="156"/>
      </w:pPr>
      <w:r>
        <w:rPr>
          <w:rFonts w:hint="eastAsia"/>
        </w:rPr>
        <w:t>建筑电气</w:t>
      </w:r>
    </w:p>
    <w:p>
      <w:pPr>
        <w:pStyle w:val="21"/>
      </w:pPr>
      <w:r>
        <w:rPr>
          <w:rFonts w:hint="eastAsia"/>
        </w:rPr>
        <w:t>驿站建筑电气工程的施工和验收应符合GB 50303的规定。</w:t>
      </w:r>
    </w:p>
    <w:p>
      <w:pPr>
        <w:pStyle w:val="41"/>
        <w:spacing w:before="156" w:after="156"/>
      </w:pPr>
      <w:r>
        <w:rPr>
          <w:rFonts w:hint="eastAsia"/>
        </w:rPr>
        <w:t>智能建筑</w:t>
      </w:r>
    </w:p>
    <w:p>
      <w:pPr>
        <w:pStyle w:val="21"/>
      </w:pPr>
      <w:r>
        <w:rPr>
          <w:rFonts w:hint="eastAsia"/>
        </w:rPr>
        <w:t>驿站智能建筑工程的施工和验收应符合GB 50606的</w:t>
      </w:r>
      <w:r>
        <w:t>GB</w:t>
      </w:r>
      <w:r>
        <w:rPr>
          <w:rFonts w:hint="eastAsia"/>
        </w:rPr>
        <w:t xml:space="preserve"> </w:t>
      </w:r>
      <w:r>
        <w:t>50339</w:t>
      </w:r>
      <w:r>
        <w:rPr>
          <w:rFonts w:hint="eastAsia"/>
        </w:rPr>
        <w:t>的规定。</w:t>
      </w:r>
    </w:p>
    <w:p>
      <w:pPr>
        <w:pStyle w:val="41"/>
        <w:spacing w:before="156" w:after="156"/>
      </w:pPr>
      <w:r>
        <w:rPr>
          <w:rFonts w:hint="eastAsia"/>
        </w:rPr>
        <w:t>无障碍设施</w:t>
      </w:r>
    </w:p>
    <w:p>
      <w:pPr>
        <w:pStyle w:val="21"/>
      </w:pPr>
      <w:r>
        <w:rPr>
          <w:rFonts w:hint="eastAsia"/>
        </w:rPr>
        <w:t>驿站无障碍设施的施工和验收应符合GB 50642的规定。</w:t>
      </w:r>
    </w:p>
    <w:p>
      <w:pPr>
        <w:pStyle w:val="40"/>
      </w:pPr>
      <w:bookmarkStart w:id="104" w:name="_Toc115170044"/>
      <w:bookmarkStart w:id="105" w:name="_Toc115257561"/>
      <w:bookmarkStart w:id="106" w:name="_Toc115169977"/>
      <w:bookmarkStart w:id="107" w:name="_Toc115276284"/>
      <w:bookmarkStart w:id="108" w:name="_Toc116553082"/>
      <w:bookmarkStart w:id="109" w:name="_Toc129092904"/>
      <w:bookmarkStart w:id="110" w:name="_Toc117168600"/>
      <w:bookmarkStart w:id="111" w:name="_Toc129093088"/>
      <w:r>
        <w:rPr>
          <w:rFonts w:hint="eastAsia"/>
        </w:rPr>
        <w:t>管理要求</w:t>
      </w:r>
      <w:bookmarkEnd w:id="104"/>
      <w:bookmarkEnd w:id="105"/>
      <w:bookmarkEnd w:id="106"/>
      <w:bookmarkEnd w:id="107"/>
      <w:bookmarkEnd w:id="108"/>
      <w:bookmarkEnd w:id="109"/>
      <w:bookmarkEnd w:id="110"/>
      <w:bookmarkEnd w:id="111"/>
    </w:p>
    <w:p>
      <w:pPr>
        <w:pStyle w:val="37"/>
      </w:pPr>
      <w:bookmarkStart w:id="112" w:name="_Toc129093089"/>
      <w:bookmarkStart w:id="113" w:name="_Toc129092905"/>
      <w:r>
        <w:rPr>
          <w:rFonts w:hint="eastAsia"/>
        </w:rPr>
        <w:t>基本要求</w:t>
      </w:r>
      <w:bookmarkEnd w:id="112"/>
      <w:bookmarkEnd w:id="113"/>
    </w:p>
    <w:p>
      <w:pPr>
        <w:pStyle w:val="41"/>
        <w:spacing w:before="156" w:after="156"/>
      </w:pPr>
      <w:r>
        <w:rPr>
          <w:rFonts w:hint="eastAsia"/>
        </w:rPr>
        <w:t>机制与制度建设</w:t>
      </w:r>
    </w:p>
    <w:p>
      <w:pPr>
        <w:pStyle w:val="46"/>
        <w:spacing w:before="156" w:after="156"/>
      </w:pPr>
      <w:r>
        <w:rPr>
          <w:rFonts w:hint="eastAsia"/>
        </w:rPr>
        <w:t>管理机制</w:t>
      </w:r>
    </w:p>
    <w:p>
      <w:pPr>
        <w:pStyle w:val="113"/>
      </w:pPr>
      <w:r>
        <w:rPr>
          <w:rFonts w:hint="eastAsia"/>
        </w:rPr>
        <w:t>管理主体负责驿站及管养单位的管理。</w:t>
      </w:r>
    </w:p>
    <w:p>
      <w:pPr>
        <w:pStyle w:val="113"/>
      </w:pPr>
      <w:r>
        <w:rPr>
          <w:rFonts w:hint="eastAsia"/>
        </w:rPr>
        <w:t>管养单位负责驿站的日常</w:t>
      </w:r>
      <w:r>
        <w:rPr>
          <w:rFonts w:hint="eastAsia"/>
          <w:szCs w:val="20"/>
        </w:rPr>
        <w:t>运行养护。</w:t>
      </w:r>
    </w:p>
    <w:p>
      <w:pPr>
        <w:pStyle w:val="113"/>
      </w:pPr>
      <w:r>
        <w:rPr>
          <w:rFonts w:hint="eastAsia"/>
        </w:rPr>
        <w:t>监管单位负责对驿站的运行进行监督检查。</w:t>
      </w:r>
    </w:p>
    <w:p>
      <w:pPr>
        <w:pStyle w:val="113"/>
      </w:pPr>
      <w:r>
        <w:rPr>
          <w:rFonts w:hint="eastAsia"/>
        </w:rPr>
        <w:t>应有日常运作经费，保障各项工作、活动的有序开展。</w:t>
      </w:r>
    </w:p>
    <w:p>
      <w:pPr>
        <w:pStyle w:val="113"/>
        <w:rPr>
          <w:rFonts w:hAnsi="宋体"/>
        </w:rPr>
      </w:pPr>
      <w:r>
        <w:rPr>
          <w:rFonts w:hint="eastAsia"/>
        </w:rPr>
        <w:t>驿站宜采</w:t>
      </w:r>
      <w:r>
        <w:rPr>
          <w:rFonts w:hint="eastAsia" w:hAnsi="宋体"/>
        </w:rPr>
        <w:t>用市场化运作模式。</w:t>
      </w:r>
    </w:p>
    <w:p>
      <w:pPr>
        <w:pStyle w:val="46"/>
        <w:spacing w:before="156" w:after="156"/>
      </w:pPr>
      <w:r>
        <w:rPr>
          <w:rFonts w:hint="eastAsia"/>
        </w:rPr>
        <w:t>制度建设</w:t>
      </w:r>
    </w:p>
    <w:p>
      <w:pPr>
        <w:pStyle w:val="21"/>
      </w:pPr>
      <w:r>
        <w:rPr>
          <w:rFonts w:hint="eastAsia"/>
        </w:rPr>
        <w:t>应建立日常运行和各项服务管理制度，包括但不限于:</w:t>
      </w:r>
    </w:p>
    <w:p>
      <w:pPr>
        <w:pStyle w:val="43"/>
      </w:pPr>
      <w:r>
        <w:rPr>
          <w:rFonts w:hint="eastAsia"/>
        </w:rPr>
        <w:t>日常管理制度，包括资产管理制度、设施设备维护管理制度、环境卫生管理制度、工作人员管理制度、投诉处理制度、信息管理制度等；</w:t>
      </w:r>
    </w:p>
    <w:p>
      <w:pPr>
        <w:pStyle w:val="43"/>
      </w:pPr>
      <w:r>
        <w:rPr>
          <w:rFonts w:hint="eastAsia"/>
        </w:rPr>
        <w:t>服务场所针对性的服务与管理制度，包括保洁服务作业流程规范、卫生检查及服务巡查制度、服务评价改进规范等；</w:t>
      </w:r>
    </w:p>
    <w:p>
      <w:pPr>
        <w:pStyle w:val="43"/>
      </w:pPr>
      <w:r>
        <w:rPr>
          <w:rFonts w:hint="eastAsia"/>
        </w:rPr>
        <w:t>安全管理制度，包括安全保卫、突发性安全事故应急预案等相关规章制度。</w:t>
      </w:r>
    </w:p>
    <w:p>
      <w:pPr>
        <w:pStyle w:val="41"/>
        <w:spacing w:before="156" w:after="156"/>
      </w:pPr>
      <w:r>
        <w:rPr>
          <w:rFonts w:hint="eastAsia"/>
        </w:rPr>
        <w:t>6S管理</w:t>
      </w:r>
    </w:p>
    <w:p>
      <w:pPr>
        <w:pStyle w:val="46"/>
        <w:spacing w:before="156" w:after="156"/>
      </w:pPr>
      <w:bookmarkStart w:id="114" w:name="_Toc87626040"/>
      <w:r>
        <w:rPr>
          <w:rFonts w:hint="eastAsia"/>
        </w:rPr>
        <w:t>整理</w:t>
      </w:r>
      <w:bookmarkEnd w:id="114"/>
    </w:p>
    <w:p>
      <w:pPr>
        <w:pStyle w:val="21"/>
      </w:pPr>
      <w:r>
        <w:rPr>
          <w:rFonts w:hint="eastAsia"/>
        </w:rPr>
        <w:t>“要与不要，一留一弃”：应将工作场所的物品按必要性进行区分，留下必要的，消除非必要的，腾出空间，防止误用，塑造清爽的工作场所。</w:t>
      </w:r>
    </w:p>
    <w:p>
      <w:pPr>
        <w:pStyle w:val="46"/>
        <w:spacing w:before="156" w:after="156"/>
      </w:pPr>
      <w:bookmarkStart w:id="115" w:name="_Toc87626041"/>
      <w:r>
        <w:rPr>
          <w:rFonts w:hint="eastAsia"/>
        </w:rPr>
        <w:t>整顿</w:t>
      </w:r>
      <w:bookmarkEnd w:id="115"/>
    </w:p>
    <w:p>
      <w:pPr>
        <w:pStyle w:val="21"/>
      </w:pPr>
      <w:r>
        <w:rPr>
          <w:rFonts w:hint="eastAsia"/>
        </w:rPr>
        <w:t>“科学布局，取用快捷”：必需品应依规定位置摆放，放置整齐并加以标识。</w:t>
      </w:r>
    </w:p>
    <w:p>
      <w:pPr>
        <w:pStyle w:val="46"/>
        <w:spacing w:before="156" w:after="156"/>
      </w:pPr>
      <w:bookmarkStart w:id="116" w:name="_Toc87626042"/>
      <w:r>
        <w:rPr>
          <w:rFonts w:hint="eastAsia"/>
        </w:rPr>
        <w:t>清扫</w:t>
      </w:r>
      <w:bookmarkEnd w:id="116"/>
    </w:p>
    <w:p>
      <w:pPr>
        <w:pStyle w:val="21"/>
      </w:pPr>
      <w:r>
        <w:rPr>
          <w:rFonts w:hint="eastAsia"/>
        </w:rPr>
        <w:t>“清除垃圾，美化环境”：应将工作场所内每个角落清扫干净，保持工作场所干净、亮丽。</w:t>
      </w:r>
    </w:p>
    <w:p>
      <w:pPr>
        <w:pStyle w:val="46"/>
        <w:spacing w:before="156" w:after="156"/>
      </w:pPr>
      <w:bookmarkStart w:id="117" w:name="_Toc87626043"/>
      <w:r>
        <w:rPr>
          <w:rFonts w:hint="eastAsia"/>
        </w:rPr>
        <w:t>清洁</w:t>
      </w:r>
      <w:bookmarkEnd w:id="117"/>
    </w:p>
    <w:p>
      <w:pPr>
        <w:pStyle w:val="21"/>
      </w:pPr>
      <w:r>
        <w:rPr>
          <w:rFonts w:hint="eastAsia"/>
        </w:rPr>
        <w:t>“清洁环境，贯彻到底”：应将整理、整顿、清扫进行到底且制度化，保持环境美观。</w:t>
      </w:r>
    </w:p>
    <w:p>
      <w:pPr>
        <w:pStyle w:val="46"/>
        <w:spacing w:before="156" w:after="156"/>
      </w:pPr>
      <w:bookmarkStart w:id="118" w:name="_Toc87626044"/>
      <w:r>
        <w:rPr>
          <w:rFonts w:hint="eastAsia"/>
        </w:rPr>
        <w:t>素养</w:t>
      </w:r>
      <w:bookmarkEnd w:id="118"/>
    </w:p>
    <w:p>
      <w:pPr>
        <w:pStyle w:val="21"/>
      </w:pPr>
      <w:r>
        <w:rPr>
          <w:rFonts w:hint="eastAsia"/>
        </w:rPr>
        <w:t>“形成制度，养成习惯”：每位管理员应严格遵守规则做事，养成积极主动的习惯。</w:t>
      </w:r>
    </w:p>
    <w:p>
      <w:pPr>
        <w:pStyle w:val="46"/>
        <w:spacing w:before="156" w:after="156"/>
      </w:pPr>
      <w:bookmarkStart w:id="119" w:name="_Toc87626045"/>
      <w:r>
        <w:rPr>
          <w:rFonts w:hint="eastAsia"/>
        </w:rPr>
        <w:t>安全</w:t>
      </w:r>
      <w:bookmarkEnd w:id="119"/>
    </w:p>
    <w:p>
      <w:pPr>
        <w:pStyle w:val="21"/>
      </w:pPr>
      <w:r>
        <w:rPr>
          <w:rFonts w:hint="eastAsia"/>
        </w:rPr>
        <w:t>“安全操作，以人为本”：应重视员工的安全教育，每时每刻保持安全第一的观念，防患于未然。</w:t>
      </w:r>
    </w:p>
    <w:p>
      <w:pPr>
        <w:pStyle w:val="41"/>
        <w:spacing w:before="156" w:after="156"/>
      </w:pPr>
      <w:r>
        <w:rPr>
          <w:rFonts w:hint="eastAsia"/>
        </w:rPr>
        <w:t>驿站LOGO管理</w:t>
      </w:r>
    </w:p>
    <w:p>
      <w:pPr>
        <w:pStyle w:val="108"/>
      </w:pPr>
      <w:bookmarkStart w:id="120" w:name="_Toc87626048"/>
      <w:r>
        <w:rPr>
          <w:rFonts w:hint="eastAsia"/>
        </w:rPr>
        <w:t>驿站LOGO应由株洲市城市管理和综合执法局（以下简称“市城管局”）负责管理，并建立相应的记录及档案。</w:t>
      </w:r>
      <w:bookmarkEnd w:id="120"/>
    </w:p>
    <w:p>
      <w:pPr>
        <w:pStyle w:val="108"/>
      </w:pPr>
      <w:bookmarkStart w:id="121" w:name="_Toc87626049"/>
      <w:r>
        <w:rPr>
          <w:rFonts w:hint="eastAsia"/>
        </w:rPr>
        <w:t>在下列载体或活动中允许使用驿站LOGO：</w:t>
      </w:r>
      <w:bookmarkEnd w:id="121"/>
    </w:p>
    <w:p>
      <w:pPr>
        <w:pStyle w:val="54"/>
        <w:numPr>
          <w:ilvl w:val="0"/>
          <w:numId w:val="12"/>
        </w:numPr>
      </w:pPr>
      <w:r>
        <w:rPr>
          <w:rFonts w:hint="eastAsia"/>
        </w:rPr>
        <w:t>驿站主标志标牌；</w:t>
      </w:r>
    </w:p>
    <w:p>
      <w:pPr>
        <w:pStyle w:val="54"/>
      </w:pPr>
      <w:r>
        <w:rPr>
          <w:rFonts w:hint="eastAsia"/>
        </w:rPr>
        <w:t>驿站广告宣传刊物；</w:t>
      </w:r>
    </w:p>
    <w:p>
      <w:pPr>
        <w:pStyle w:val="54"/>
      </w:pPr>
      <w:r>
        <w:rPr>
          <w:rFonts w:hint="eastAsia"/>
        </w:rPr>
        <w:t>文档手册、宣传册等印刷品；</w:t>
      </w:r>
    </w:p>
    <w:p>
      <w:pPr>
        <w:pStyle w:val="54"/>
      </w:pPr>
      <w:r>
        <w:rPr>
          <w:rFonts w:hint="eastAsia"/>
        </w:rPr>
        <w:t>驿站内部的管理制度、标准及记录等相关文件；</w:t>
      </w:r>
    </w:p>
    <w:p>
      <w:pPr>
        <w:pStyle w:val="54"/>
      </w:pPr>
      <w:r>
        <w:rPr>
          <w:rFonts w:hint="eastAsia"/>
        </w:rPr>
        <w:t>特定的交易文书；</w:t>
      </w:r>
    </w:p>
    <w:p>
      <w:pPr>
        <w:pStyle w:val="54"/>
      </w:pPr>
      <w:r>
        <w:rPr>
          <w:rFonts w:hint="eastAsia"/>
        </w:rPr>
        <w:t>举办或参加展示会。</w:t>
      </w:r>
    </w:p>
    <w:p>
      <w:pPr>
        <w:pStyle w:val="37"/>
      </w:pPr>
      <w:bookmarkStart w:id="122" w:name="_Toc116553085"/>
      <w:bookmarkStart w:id="123" w:name="_Toc115276287"/>
      <w:bookmarkStart w:id="124" w:name="_Toc117168602"/>
      <w:bookmarkStart w:id="125" w:name="_Toc129093090"/>
      <w:bookmarkStart w:id="126" w:name="_Toc115257564"/>
      <w:bookmarkStart w:id="127" w:name="_Toc129092906"/>
      <w:r>
        <w:rPr>
          <w:rFonts w:hint="eastAsia"/>
        </w:rPr>
        <w:t>服务管理</w:t>
      </w:r>
      <w:bookmarkEnd w:id="122"/>
      <w:bookmarkEnd w:id="123"/>
      <w:bookmarkEnd w:id="124"/>
      <w:bookmarkEnd w:id="125"/>
      <w:bookmarkEnd w:id="126"/>
      <w:bookmarkEnd w:id="127"/>
    </w:p>
    <w:p>
      <w:pPr>
        <w:pStyle w:val="41"/>
        <w:spacing w:before="156" w:after="156"/>
      </w:pPr>
      <w:r>
        <w:rPr>
          <w:rFonts w:hint="eastAsia"/>
        </w:rPr>
        <w:t>开放时间</w:t>
      </w:r>
    </w:p>
    <w:p>
      <w:pPr>
        <w:widowControl/>
        <w:numPr>
          <w:ilvl w:val="3"/>
          <w:numId w:val="2"/>
        </w:numPr>
        <w:jc w:val="left"/>
        <w:outlineLvl w:val="3"/>
        <w:rPr>
          <w:rFonts w:ascii="宋体" w:hAnsi="宋体"/>
          <w:kern w:val="0"/>
          <w:szCs w:val="21"/>
        </w:rPr>
      </w:pPr>
      <w:r>
        <w:rPr>
          <w:rFonts w:hint="eastAsia" w:ascii="宋体" w:hAnsi="宋体"/>
          <w:kern w:val="0"/>
          <w:szCs w:val="21"/>
        </w:rPr>
        <w:t>窗口地带、人口密集区域等的驿站应</w:t>
      </w:r>
      <w:r>
        <w:rPr>
          <w:rFonts w:ascii="宋体" w:hAnsi="宋体"/>
          <w:kern w:val="0"/>
          <w:szCs w:val="21"/>
        </w:rPr>
        <w:t>24</w:t>
      </w:r>
      <w:r>
        <w:rPr>
          <w:rFonts w:hint="eastAsia" w:ascii="宋体" w:hAnsi="宋体"/>
          <w:kern w:val="0"/>
          <w:szCs w:val="21"/>
        </w:rPr>
        <w:t>小时</w:t>
      </w:r>
      <w:r>
        <w:rPr>
          <w:rFonts w:ascii="宋体" w:hAnsi="宋体"/>
          <w:kern w:val="0"/>
          <w:szCs w:val="21"/>
        </w:rPr>
        <w:t>免费开放</w:t>
      </w:r>
      <w:r>
        <w:rPr>
          <w:rFonts w:hint="eastAsia" w:ascii="宋体" w:hAnsi="宋体"/>
          <w:kern w:val="0"/>
          <w:szCs w:val="21"/>
        </w:rPr>
        <w:t>。</w:t>
      </w:r>
    </w:p>
    <w:p>
      <w:pPr>
        <w:widowControl/>
        <w:numPr>
          <w:ilvl w:val="3"/>
          <w:numId w:val="2"/>
        </w:numPr>
        <w:jc w:val="left"/>
        <w:outlineLvl w:val="3"/>
        <w:rPr>
          <w:rFonts w:ascii="宋体" w:hAnsi="宋体"/>
          <w:kern w:val="0"/>
          <w:szCs w:val="21"/>
        </w:rPr>
      </w:pPr>
      <w:r>
        <w:rPr>
          <w:rFonts w:hint="eastAsia" w:ascii="宋体" w:hAnsi="宋体"/>
          <w:kern w:val="0"/>
          <w:szCs w:val="21"/>
        </w:rPr>
        <w:t>人流量较少的驿站应根据实际情况合理安排开放时间。</w:t>
      </w:r>
    </w:p>
    <w:p>
      <w:pPr>
        <w:pStyle w:val="41"/>
        <w:spacing w:before="156" w:after="156"/>
      </w:pPr>
      <w:r>
        <w:rPr>
          <w:rFonts w:hint="eastAsia"/>
        </w:rPr>
        <w:t>服务内容</w:t>
      </w:r>
    </w:p>
    <w:p>
      <w:pPr>
        <w:pStyle w:val="108"/>
      </w:pPr>
      <w:r>
        <w:rPr>
          <w:rFonts w:hint="eastAsia"/>
        </w:rPr>
        <w:t>各级驿站的服务内容应符合表2的规定。</w:t>
      </w:r>
    </w:p>
    <w:p>
      <w:pPr>
        <w:pStyle w:val="108"/>
      </w:pPr>
      <w:r>
        <w:rPr>
          <w:rFonts w:hint="eastAsia"/>
        </w:rPr>
        <w:t>驿站内的厕纸、一次性坐垫以及各种便民服务应免费提供。</w:t>
      </w:r>
    </w:p>
    <w:p>
      <w:pPr>
        <w:pStyle w:val="108"/>
      </w:pPr>
      <w:r>
        <w:rPr>
          <w:rFonts w:hint="eastAsia" w:hAnsi="宋体"/>
        </w:rPr>
        <w:t>驿站内的广告在投放前应经管理主体单位审核，审核通过后报监管单位批准。广告内容应积极向上，有利于人民的身心健康，遵守社会公德和职业道德，维护国家的尊严和利益。</w:t>
      </w:r>
    </w:p>
    <w:p>
      <w:pPr>
        <w:pStyle w:val="41"/>
        <w:spacing w:before="156" w:after="156"/>
      </w:pPr>
      <w:r>
        <w:rPr>
          <w:rFonts w:hint="eastAsia"/>
        </w:rPr>
        <w:t>服务环境</w:t>
      </w:r>
    </w:p>
    <w:p>
      <w:pPr>
        <w:pStyle w:val="46"/>
        <w:spacing w:before="156" w:after="156"/>
      </w:pPr>
      <w:r>
        <w:rPr>
          <w:rFonts w:hint="eastAsia"/>
        </w:rPr>
        <w:t>基本要求</w:t>
      </w:r>
    </w:p>
    <w:p>
      <w:pPr>
        <w:pStyle w:val="113"/>
      </w:pPr>
      <w:r>
        <w:rPr>
          <w:rFonts w:hint="eastAsia"/>
        </w:rPr>
        <w:t>驿站内的卫生学评价指标应符合GB/T 17217—2021中表1的规定。</w:t>
      </w:r>
    </w:p>
    <w:p>
      <w:pPr>
        <w:pStyle w:val="113"/>
      </w:pPr>
      <w:r>
        <w:rPr>
          <w:rFonts w:hint="eastAsia"/>
        </w:rPr>
        <w:t>驿站的恶臭污染物排放应符合GB 14554的规定。</w:t>
      </w:r>
    </w:p>
    <w:p>
      <w:pPr>
        <w:pStyle w:val="46"/>
        <w:spacing w:before="156" w:after="156"/>
      </w:pPr>
      <w:r>
        <w:rPr>
          <w:rFonts w:hint="eastAsia"/>
        </w:rPr>
        <w:t>保洁维护</w:t>
      </w:r>
    </w:p>
    <w:p>
      <w:pPr>
        <w:pStyle w:val="50"/>
        <w:spacing w:before="156" w:after="156"/>
      </w:pPr>
      <w:r>
        <w:rPr>
          <w:rFonts w:hint="eastAsia"/>
        </w:rPr>
        <w:t>保洁频次</w:t>
      </w:r>
    </w:p>
    <w:p>
      <w:pPr>
        <w:pStyle w:val="21"/>
      </w:pPr>
      <w:r>
        <w:rPr>
          <w:rFonts w:hint="eastAsia"/>
        </w:rPr>
        <w:t>在保洁时段内应按照“随脏随清扫”的原则进行保洁，人流高峰期应加大保洁频次。</w:t>
      </w:r>
    </w:p>
    <w:p>
      <w:pPr>
        <w:pStyle w:val="50"/>
        <w:spacing w:before="156" w:after="156"/>
      </w:pPr>
      <w:r>
        <w:rPr>
          <w:rFonts w:hint="eastAsia"/>
        </w:rPr>
        <w:t>室外保洁质量</w:t>
      </w:r>
    </w:p>
    <w:p>
      <w:pPr>
        <w:pStyle w:val="119"/>
      </w:pPr>
      <w:r>
        <w:rPr>
          <w:rFonts w:hint="eastAsia"/>
        </w:rPr>
        <w:t>驿站外墙应清洁，不应吊挂杂物。</w:t>
      </w:r>
    </w:p>
    <w:p>
      <w:pPr>
        <w:pStyle w:val="119"/>
      </w:pPr>
      <w:r>
        <w:rPr>
          <w:rFonts w:hint="eastAsia"/>
        </w:rPr>
        <w:t>驿站的坡道、台阶、走道及驿站外责任区应整洁，无垃圾、吊挂、积水、结冰、障碍物、纸屑、烟蒂等杂物。</w:t>
      </w:r>
    </w:p>
    <w:p>
      <w:pPr>
        <w:pStyle w:val="119"/>
      </w:pPr>
      <w:r>
        <w:rPr>
          <w:rFonts w:hint="eastAsia"/>
        </w:rPr>
        <w:t>驿站的扶手应干净无灰尘。</w:t>
      </w:r>
    </w:p>
    <w:p>
      <w:pPr>
        <w:pStyle w:val="119"/>
      </w:pPr>
      <w:r>
        <w:rPr>
          <w:rFonts w:hint="eastAsia"/>
        </w:rPr>
        <w:t>驿站周边5</w:t>
      </w:r>
      <w:r>
        <w:t> </w:t>
      </w:r>
      <w:r>
        <w:rPr>
          <w:rFonts w:hint="eastAsia"/>
        </w:rPr>
        <w:t>m范围内应干净整洁。</w:t>
      </w:r>
    </w:p>
    <w:p>
      <w:pPr>
        <w:pStyle w:val="119"/>
      </w:pPr>
      <w:r>
        <w:rPr>
          <w:rFonts w:hint="eastAsia"/>
        </w:rPr>
        <w:t>驿站化粪池、贮粪池内粪便不应超过其容积的3/4，周围场地应整洁、无垃圾、粪迹、污水，无恶臭、蝇蛆等。</w:t>
      </w:r>
    </w:p>
    <w:p>
      <w:pPr>
        <w:pStyle w:val="119"/>
      </w:pPr>
      <w:r>
        <w:rPr>
          <w:rFonts w:hint="eastAsia"/>
        </w:rPr>
        <w:t>驿站室外的标志、标牌应清晰可见，无污渍、无损坏、无脱落、无残缺等。</w:t>
      </w:r>
    </w:p>
    <w:p>
      <w:pPr>
        <w:pStyle w:val="50"/>
        <w:spacing w:before="156" w:after="156"/>
      </w:pPr>
      <w:r>
        <w:rPr>
          <w:rFonts w:hint="eastAsia"/>
        </w:rPr>
        <w:t>室内保洁质量</w:t>
      </w:r>
    </w:p>
    <w:p>
      <w:pPr>
        <w:pStyle w:val="119"/>
      </w:pPr>
      <w:r>
        <w:rPr>
          <w:rFonts w:hint="eastAsia"/>
        </w:rPr>
        <w:t>驿站室内保洁应做到“十净、十无、三通”，其中：</w:t>
      </w:r>
    </w:p>
    <w:p>
      <w:pPr>
        <w:pStyle w:val="43"/>
      </w:pPr>
      <w:r>
        <w:rPr>
          <w:rFonts w:hint="eastAsia"/>
        </w:rPr>
        <w:t>“十净”包括：标牌净、门窗净、墙面净、地面净、便器净、隔板净、洗手台净、镜面净、扶手净、手纸盒净；</w:t>
      </w:r>
    </w:p>
    <w:p>
      <w:pPr>
        <w:pStyle w:val="43"/>
      </w:pPr>
      <w:r>
        <w:rPr>
          <w:rFonts w:hint="eastAsia"/>
        </w:rPr>
        <w:t>“十无”包括：无蚊蝇、无臭味、无积尘、无蛛网、无暴露垃圾、无污水、无尿垢、无污迹、无纸篓满溢、无乱贴乱画；</w:t>
      </w:r>
    </w:p>
    <w:p>
      <w:pPr>
        <w:pStyle w:val="43"/>
      </w:pPr>
      <w:r>
        <w:rPr>
          <w:rFonts w:hint="eastAsia"/>
        </w:rPr>
        <w:t>“三通”包括：通水、通电、通风。</w:t>
      </w:r>
    </w:p>
    <w:p>
      <w:pPr>
        <w:pStyle w:val="119"/>
      </w:pPr>
      <w:r>
        <w:rPr>
          <w:rFonts w:hint="eastAsia"/>
        </w:rPr>
        <w:t>天花板、栏杆、楼梯等干净整洁、无污渍、无破损、无积灰、无蜘蛛网等。</w:t>
      </w:r>
    </w:p>
    <w:p>
      <w:pPr>
        <w:pStyle w:val="119"/>
      </w:pPr>
      <w:r>
        <w:rPr>
          <w:rFonts w:hint="eastAsia"/>
        </w:rPr>
        <w:t>冲水设备、洗手龙头和挂衣钩等应干净整洁，照明灯具、防蚊、防蝇、防鼠设备应洁净。</w:t>
      </w:r>
    </w:p>
    <w:p>
      <w:pPr>
        <w:pStyle w:val="119"/>
      </w:pPr>
      <w:r>
        <w:rPr>
          <w:rFonts w:hint="eastAsia"/>
        </w:rPr>
        <w:t>纸篓内废弃物不应超过容积的2/3。</w:t>
      </w:r>
    </w:p>
    <w:p>
      <w:pPr>
        <w:pStyle w:val="119"/>
      </w:pPr>
      <w:r>
        <w:rPr>
          <w:rFonts w:hint="eastAsia"/>
        </w:rPr>
        <w:t>驿站内配备绿色植物的，应定期对绿色植物进行护理，及时清除落叶、枯枝；配备管理间或工具间的，应保持整洁；配备第三卫生间的，第三卫生间内的设施应完好洁净，并应做到一客一净。</w:t>
      </w:r>
    </w:p>
    <w:p>
      <w:pPr>
        <w:pStyle w:val="119"/>
      </w:pPr>
      <w:r>
        <w:rPr>
          <w:rFonts w:hint="eastAsia"/>
        </w:rPr>
        <w:t>如厕所需的卫生纸、坐垫纸、洗手液及垃圾袋等耗材应及时补充。</w:t>
      </w:r>
    </w:p>
    <w:p>
      <w:pPr>
        <w:pStyle w:val="37"/>
      </w:pPr>
      <w:bookmarkStart w:id="128" w:name="_Toc115257565"/>
      <w:bookmarkStart w:id="129" w:name="_Toc117168603"/>
      <w:bookmarkStart w:id="130" w:name="_Toc129092907"/>
      <w:bookmarkStart w:id="131" w:name="_Toc115276288"/>
      <w:bookmarkStart w:id="132" w:name="_Toc129093091"/>
      <w:bookmarkStart w:id="133" w:name="_Toc116553086"/>
      <w:r>
        <w:rPr>
          <w:rFonts w:hint="eastAsia"/>
        </w:rPr>
        <w:t>人员管理</w:t>
      </w:r>
      <w:bookmarkEnd w:id="128"/>
      <w:bookmarkEnd w:id="129"/>
      <w:bookmarkEnd w:id="130"/>
      <w:bookmarkEnd w:id="131"/>
      <w:bookmarkEnd w:id="132"/>
      <w:bookmarkEnd w:id="133"/>
    </w:p>
    <w:p>
      <w:pPr>
        <w:pStyle w:val="41"/>
        <w:spacing w:before="156" w:after="156"/>
      </w:pPr>
      <w:r>
        <w:rPr>
          <w:rFonts w:hint="eastAsia"/>
        </w:rPr>
        <w:t>人员配置</w:t>
      </w:r>
    </w:p>
    <w:p>
      <w:pPr>
        <w:pStyle w:val="108"/>
      </w:pPr>
      <w:r>
        <w:rPr>
          <w:rFonts w:hint="eastAsia"/>
        </w:rPr>
        <w:t>每座驿站应指定1名站长。</w:t>
      </w:r>
    </w:p>
    <w:p>
      <w:pPr>
        <w:pStyle w:val="108"/>
      </w:pPr>
      <w:r>
        <w:rPr>
          <w:rFonts w:hint="eastAsia"/>
        </w:rPr>
        <w:t>每座驿站应配备至少1名专职管理员，人口密集区域和实行24小时开放的驿站应实行“多人一站”。</w:t>
      </w:r>
    </w:p>
    <w:p>
      <w:pPr>
        <w:pStyle w:val="108"/>
      </w:pPr>
      <w:r>
        <w:rPr>
          <w:rFonts w:hint="eastAsia"/>
        </w:rPr>
        <w:t>每座驿站应配备设备维修员。</w:t>
      </w:r>
    </w:p>
    <w:p>
      <w:pPr>
        <w:pStyle w:val="41"/>
        <w:spacing w:before="156" w:after="156"/>
      </w:pPr>
      <w:r>
        <w:rPr>
          <w:rFonts w:hint="eastAsia"/>
        </w:rPr>
        <w:t>人员要求</w:t>
      </w:r>
    </w:p>
    <w:p>
      <w:pPr>
        <w:pStyle w:val="46"/>
        <w:spacing w:before="156" w:after="156"/>
      </w:pPr>
      <w:r>
        <w:rPr>
          <w:rFonts w:hint="eastAsia"/>
        </w:rPr>
        <w:t>站长</w:t>
      </w:r>
    </w:p>
    <w:p>
      <w:pPr>
        <w:pStyle w:val="113"/>
      </w:pPr>
      <w:r>
        <w:rPr>
          <w:rFonts w:hint="eastAsia"/>
        </w:rPr>
        <w:t>站长为驿站的监督责任人，负责驿站的整体运行和监督管理，其信息应上墙公示。</w:t>
      </w:r>
    </w:p>
    <w:p>
      <w:pPr>
        <w:pStyle w:val="113"/>
      </w:pPr>
      <w:r>
        <w:rPr>
          <w:rFonts w:hint="eastAsia"/>
        </w:rPr>
        <w:t>站长应不定期对所辖驿站进行监督检查，沟通协调相关问题并进行处理，保证驿站的正常运行。</w:t>
      </w:r>
    </w:p>
    <w:p>
      <w:pPr>
        <w:pStyle w:val="46"/>
        <w:spacing w:before="156" w:after="156"/>
      </w:pPr>
      <w:r>
        <w:rPr>
          <w:rFonts w:hint="eastAsia"/>
        </w:rPr>
        <w:t>管理员</w:t>
      </w:r>
    </w:p>
    <w:p>
      <w:pPr>
        <w:pStyle w:val="113"/>
      </w:pPr>
      <w:r>
        <w:rPr>
          <w:rFonts w:hint="eastAsia"/>
        </w:rPr>
        <w:t>管理员负责驿站的保洁及设施设备的日常管理工作。</w:t>
      </w:r>
    </w:p>
    <w:p>
      <w:pPr>
        <w:pStyle w:val="113"/>
      </w:pPr>
      <w:r>
        <w:rPr>
          <w:rFonts w:hint="eastAsia"/>
        </w:rPr>
        <w:t>管理员应经过培训，合格后方可上岗。</w:t>
      </w:r>
    </w:p>
    <w:p>
      <w:pPr>
        <w:pStyle w:val="113"/>
      </w:pPr>
      <w:r>
        <w:rPr>
          <w:rFonts w:hint="eastAsia"/>
        </w:rPr>
        <w:t>管理员应掌握药物消杀、消防等知识并能熟练使用，应具备疏导和维持驿站秩序的能力，对破坏驿站设施设备的行为进行劝阻，劝阻无效时应及时上报</w:t>
      </w:r>
    </w:p>
    <w:p>
      <w:pPr>
        <w:pStyle w:val="113"/>
      </w:pPr>
      <w:r>
        <w:rPr>
          <w:rFonts w:hint="eastAsia"/>
        </w:rPr>
        <w:t>管理员应着装统一，文明作业、服务规范、礼貌待人，需要时应对老弱病残幼等特殊人群提供如厕帮助。</w:t>
      </w:r>
    </w:p>
    <w:p>
      <w:pPr>
        <w:pStyle w:val="113"/>
      </w:pPr>
      <w:r>
        <w:rPr>
          <w:rFonts w:hint="eastAsia"/>
        </w:rPr>
        <w:t>管理员应定时定点上岗，不应擅自离岗或从事与驿站服务无关的活动，不应私自雇工顶岗或转包，不应随意停用厕位或将管理间、工具间改作他用。</w:t>
      </w:r>
    </w:p>
    <w:p>
      <w:pPr>
        <w:pStyle w:val="113"/>
      </w:pPr>
      <w:r>
        <w:rPr>
          <w:rFonts w:hint="eastAsia"/>
        </w:rPr>
        <w:t>管理员捡拾到遗失物品时，应及时交还失主或上级管理部门。</w:t>
      </w:r>
    </w:p>
    <w:p>
      <w:pPr>
        <w:pStyle w:val="113"/>
      </w:pPr>
      <w:r>
        <w:rPr>
          <w:rFonts w:hint="eastAsia"/>
        </w:rPr>
        <w:t>管理员应自觉接受上级主管部门和群众的监督，发生突发事件时应及时上报。</w:t>
      </w:r>
    </w:p>
    <w:p>
      <w:pPr>
        <w:pStyle w:val="113"/>
      </w:pPr>
      <w:r>
        <w:rPr>
          <w:rFonts w:hint="eastAsia"/>
        </w:rPr>
        <w:t>管理员应如实、及时做好</w:t>
      </w:r>
      <w:bookmarkStart w:id="177" w:name="_GoBack"/>
      <w:bookmarkEnd w:id="177"/>
      <w:r>
        <w:rPr>
          <w:rFonts w:hint="eastAsia"/>
        </w:rPr>
        <w:t>工作</w:t>
      </w:r>
      <w:r>
        <w:rPr>
          <w:rFonts w:hint="eastAsia"/>
          <w:lang w:eastAsia="zh-CN"/>
        </w:rPr>
        <w:t>台账</w:t>
      </w:r>
      <w:r>
        <w:rPr>
          <w:rFonts w:hint="eastAsia"/>
        </w:rPr>
        <w:t>的记录。</w:t>
      </w:r>
    </w:p>
    <w:p>
      <w:pPr>
        <w:pStyle w:val="46"/>
        <w:spacing w:before="156" w:after="156"/>
      </w:pPr>
      <w:r>
        <w:rPr>
          <w:rFonts w:hint="eastAsia"/>
        </w:rPr>
        <w:t>维修员</w:t>
      </w:r>
    </w:p>
    <w:p>
      <w:pPr>
        <w:pStyle w:val="113"/>
      </w:pPr>
      <w:r>
        <w:rPr>
          <w:rFonts w:hint="eastAsia"/>
        </w:rPr>
        <w:t>维修员应熟悉驿站设施设备的情况，具备相应的维修技能。</w:t>
      </w:r>
    </w:p>
    <w:p>
      <w:pPr>
        <w:pStyle w:val="113"/>
      </w:pPr>
      <w:r>
        <w:rPr>
          <w:rFonts w:hint="eastAsia"/>
        </w:rPr>
        <w:t>维修员应定期对驿站的设施设备进行维护保养，在接到维修通知后应能第一时间处理。</w:t>
      </w:r>
    </w:p>
    <w:p>
      <w:pPr>
        <w:pStyle w:val="37"/>
      </w:pPr>
      <w:bookmarkStart w:id="134" w:name="_Toc115276289"/>
      <w:bookmarkStart w:id="135" w:name="_Toc129093092"/>
      <w:bookmarkStart w:id="136" w:name="_Toc129092908"/>
      <w:bookmarkStart w:id="137" w:name="_Toc117168604"/>
      <w:bookmarkStart w:id="138" w:name="_Toc116553087"/>
      <w:bookmarkStart w:id="139" w:name="_Toc115257566"/>
      <w:r>
        <w:rPr>
          <w:rFonts w:hint="eastAsia"/>
        </w:rPr>
        <w:t>设施设备管理</w:t>
      </w:r>
      <w:bookmarkEnd w:id="134"/>
      <w:bookmarkEnd w:id="135"/>
      <w:bookmarkEnd w:id="136"/>
      <w:bookmarkEnd w:id="137"/>
      <w:bookmarkEnd w:id="138"/>
      <w:bookmarkEnd w:id="139"/>
    </w:p>
    <w:p>
      <w:pPr>
        <w:pStyle w:val="41"/>
        <w:spacing w:before="156" w:after="156"/>
      </w:pPr>
      <w:r>
        <w:rPr>
          <w:rFonts w:hint="eastAsia"/>
        </w:rPr>
        <w:t>基本要求</w:t>
      </w:r>
    </w:p>
    <w:p>
      <w:pPr>
        <w:pStyle w:val="108"/>
      </w:pPr>
      <w:r>
        <w:rPr>
          <w:rFonts w:hint="eastAsia"/>
        </w:rPr>
        <w:t>驿站内采光、照明、通风、给排水以及便器等基础设施设备的完好率应大于或等于95%。</w:t>
      </w:r>
    </w:p>
    <w:p>
      <w:pPr>
        <w:pStyle w:val="108"/>
      </w:pPr>
      <w:r>
        <w:rPr>
          <w:rFonts w:hint="eastAsia"/>
        </w:rPr>
        <w:t>驿站的标识标牌应保持清洁，且无破损、遮挡、残缺、锈迹、歪斜。各类指向性标牌应保持指示方向准确。</w:t>
      </w:r>
    </w:p>
    <w:p>
      <w:pPr>
        <w:pStyle w:val="108"/>
      </w:pPr>
      <w:r>
        <w:rPr>
          <w:rFonts w:hint="eastAsia"/>
        </w:rPr>
        <w:t>驿站无障碍设施应完好，无障碍通道应通畅。</w:t>
      </w:r>
    </w:p>
    <w:p>
      <w:pPr>
        <w:pStyle w:val="108"/>
      </w:pPr>
      <w:r>
        <w:rPr>
          <w:rFonts w:hint="eastAsia"/>
        </w:rPr>
        <w:t>管理主体应采用巡回方式检查，发现问题时应及时处理，保障驿站内设施设备功能完好。</w:t>
      </w:r>
    </w:p>
    <w:p>
      <w:pPr>
        <w:pStyle w:val="108"/>
      </w:pPr>
      <w:r>
        <w:rPr>
          <w:rFonts w:hint="eastAsia"/>
        </w:rPr>
        <w:t>设施设备维修期间，驿站应有提示如厕人员的明显标识，并明确停用时间及原因。</w:t>
      </w:r>
    </w:p>
    <w:p>
      <w:pPr>
        <w:pStyle w:val="108"/>
      </w:pPr>
      <w:r>
        <w:rPr>
          <w:rFonts w:hint="eastAsia"/>
        </w:rPr>
        <w:t>设施设备的维修记录应完整、清晰、准确，维修时限应符合表5的规定。</w:t>
      </w:r>
    </w:p>
    <w:p>
      <w:pPr>
        <w:pStyle w:val="108"/>
        <w:numPr>
          <w:ilvl w:val="0"/>
          <w:numId w:val="0"/>
        </w:numPr>
      </w:pPr>
    </w:p>
    <w:p>
      <w:pPr>
        <w:pStyle w:val="122"/>
        <w:numPr>
          <w:ilvl w:val="0"/>
          <w:numId w:val="10"/>
        </w:numPr>
      </w:pPr>
      <w:r>
        <w:rPr>
          <w:rFonts w:hint="eastAsia"/>
        </w:rPr>
        <w:t>驿站内设施设备维护时限</w:t>
      </w:r>
    </w:p>
    <w:tbl>
      <w:tblPr>
        <w:tblStyle w:val="29"/>
        <w:tblW w:w="93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8"/>
        <w:gridCol w:w="4785"/>
        <w:gridCol w:w="35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28" w:type="dxa"/>
            <w:tcBorders>
              <w:top w:val="single" w:color="auto" w:sz="12" w:space="0"/>
              <w:left w:val="single" w:color="auto" w:sz="12" w:space="0"/>
              <w:bottom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序号</w:t>
            </w:r>
          </w:p>
        </w:tc>
        <w:tc>
          <w:tcPr>
            <w:tcW w:w="4785" w:type="dxa"/>
            <w:tcBorders>
              <w:top w:val="single" w:color="auto" w:sz="12" w:space="0"/>
              <w:bottom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设施设备项目</w:t>
            </w:r>
          </w:p>
        </w:tc>
        <w:tc>
          <w:tcPr>
            <w:tcW w:w="3543" w:type="dxa"/>
            <w:tcBorders>
              <w:top w:val="single" w:color="auto" w:sz="12" w:space="0"/>
              <w:bottom w:val="single" w:color="auto" w:sz="12" w:space="0"/>
              <w:right w:val="single" w:color="auto" w:sz="12" w:space="0"/>
            </w:tcBorders>
            <w:shd w:val="clear" w:color="auto" w:fill="auto"/>
            <w:vAlign w:val="center"/>
          </w:tcPr>
          <w:p>
            <w:pPr>
              <w:pStyle w:val="21"/>
              <w:ind w:firstLine="0" w:firstLineChars="0"/>
              <w:jc w:val="center"/>
              <w:rPr>
                <w:sz w:val="18"/>
                <w:szCs w:val="18"/>
              </w:rPr>
            </w:pPr>
            <w:r>
              <w:rPr>
                <w:rFonts w:hint="eastAsia"/>
                <w:sz w:val="18"/>
                <w:szCs w:val="18"/>
              </w:rPr>
              <w:t>维修时限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28" w:type="dxa"/>
            <w:tcBorders>
              <w:top w:val="single" w:color="auto" w:sz="12" w:space="0"/>
              <w:left w:val="single" w:color="auto" w:sz="12" w:space="0"/>
            </w:tcBorders>
            <w:shd w:val="clear" w:color="auto" w:fill="auto"/>
            <w:vAlign w:val="center"/>
          </w:tcPr>
          <w:p>
            <w:pPr>
              <w:jc w:val="center"/>
              <w:rPr>
                <w:rStyle w:val="133"/>
                <w:rFonts w:ascii="宋体" w:hAnsi="宋体" w:cs="宋体"/>
                <w:bCs/>
                <w:color w:val="000000"/>
                <w:kern w:val="0"/>
                <w:sz w:val="18"/>
                <w:szCs w:val="18"/>
              </w:rPr>
            </w:pPr>
            <w:r>
              <w:rPr>
                <w:rStyle w:val="133"/>
                <w:rFonts w:hint="eastAsia" w:ascii="宋体" w:hAnsi="宋体" w:cs="宋体"/>
                <w:bCs/>
                <w:color w:val="000000"/>
                <w:kern w:val="0"/>
                <w:sz w:val="18"/>
                <w:szCs w:val="18"/>
              </w:rPr>
              <w:t>1</w:t>
            </w:r>
          </w:p>
        </w:tc>
        <w:tc>
          <w:tcPr>
            <w:tcW w:w="4785" w:type="dxa"/>
            <w:tcBorders>
              <w:top w:val="single" w:color="auto" w:sz="12" w:space="0"/>
            </w:tcBorders>
            <w:shd w:val="clear" w:color="auto" w:fill="auto"/>
            <w:vAlign w:val="center"/>
          </w:tcPr>
          <w:p>
            <w:pPr>
              <w:jc w:val="center"/>
              <w:rPr>
                <w:rFonts w:ascii="宋体"/>
                <w:sz w:val="18"/>
              </w:rPr>
            </w:pPr>
            <w:r>
              <w:rPr>
                <w:rFonts w:hint="eastAsia" w:ascii="宋体"/>
                <w:sz w:val="18"/>
              </w:rPr>
              <w:t>门、窗、洗手盆、冲水设备、面镜、挂衣钩等</w:t>
            </w:r>
          </w:p>
        </w:tc>
        <w:tc>
          <w:tcPr>
            <w:tcW w:w="3543" w:type="dxa"/>
            <w:tcBorders>
              <w:top w:val="single" w:color="auto" w:sz="12" w:space="0"/>
              <w:right w:val="single" w:color="auto" w:sz="12" w:space="0"/>
            </w:tcBorders>
            <w:shd w:val="clear" w:color="auto" w:fill="auto"/>
            <w:vAlign w:val="center"/>
          </w:tcPr>
          <w:p>
            <w:pPr>
              <w:jc w:val="center"/>
              <w:rPr>
                <w:rFonts w:ascii="宋体"/>
                <w:sz w:val="18"/>
              </w:rPr>
            </w:pPr>
            <w:r>
              <w:rPr>
                <w:rFonts w:hint="eastAsia" w:ascii="宋体"/>
                <w:sz w:val="18"/>
              </w:rPr>
              <w:t>1天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28" w:type="dxa"/>
            <w:tcBorders>
              <w:left w:val="single" w:color="auto" w:sz="12" w:space="0"/>
            </w:tcBorders>
            <w:shd w:val="clear" w:color="auto" w:fill="auto"/>
            <w:vAlign w:val="center"/>
          </w:tcPr>
          <w:p>
            <w:pPr>
              <w:jc w:val="center"/>
              <w:rPr>
                <w:rStyle w:val="133"/>
                <w:rFonts w:ascii="宋体" w:hAnsi="宋体" w:cs="宋体"/>
                <w:bCs/>
                <w:color w:val="000000"/>
                <w:kern w:val="0"/>
                <w:sz w:val="18"/>
                <w:szCs w:val="18"/>
              </w:rPr>
            </w:pPr>
            <w:r>
              <w:rPr>
                <w:rStyle w:val="133"/>
                <w:rFonts w:hint="eastAsia" w:ascii="宋体" w:hAnsi="宋体" w:cs="宋体"/>
                <w:bCs/>
                <w:color w:val="000000"/>
                <w:kern w:val="0"/>
                <w:sz w:val="18"/>
                <w:szCs w:val="18"/>
              </w:rPr>
              <w:t>2</w:t>
            </w:r>
          </w:p>
        </w:tc>
        <w:tc>
          <w:tcPr>
            <w:tcW w:w="4785" w:type="dxa"/>
            <w:shd w:val="clear" w:color="auto" w:fill="auto"/>
            <w:vAlign w:val="center"/>
          </w:tcPr>
          <w:p>
            <w:pPr>
              <w:jc w:val="center"/>
              <w:rPr>
                <w:rFonts w:ascii="宋体"/>
                <w:sz w:val="18"/>
              </w:rPr>
            </w:pPr>
            <w:r>
              <w:rPr>
                <w:rFonts w:hint="eastAsia" w:ascii="宋体"/>
                <w:sz w:val="18"/>
              </w:rPr>
              <w:t>除臭或空气净化设备</w:t>
            </w:r>
          </w:p>
        </w:tc>
        <w:tc>
          <w:tcPr>
            <w:tcW w:w="3543" w:type="dxa"/>
            <w:tcBorders>
              <w:right w:val="single" w:color="auto" w:sz="12" w:space="0"/>
            </w:tcBorders>
            <w:shd w:val="clear" w:color="auto" w:fill="auto"/>
            <w:vAlign w:val="center"/>
          </w:tcPr>
          <w:p>
            <w:pPr>
              <w:jc w:val="center"/>
              <w:rPr>
                <w:rFonts w:ascii="宋体"/>
                <w:sz w:val="18"/>
              </w:rPr>
            </w:pPr>
            <w:r>
              <w:rPr>
                <w:rFonts w:hint="eastAsia" w:ascii="宋体"/>
                <w:sz w:val="18"/>
              </w:rPr>
              <w:t>1天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28" w:type="dxa"/>
            <w:tcBorders>
              <w:left w:val="single" w:color="auto" w:sz="12" w:space="0"/>
            </w:tcBorders>
            <w:shd w:val="clear" w:color="auto" w:fill="auto"/>
            <w:vAlign w:val="center"/>
          </w:tcPr>
          <w:p>
            <w:pPr>
              <w:jc w:val="center"/>
              <w:rPr>
                <w:rStyle w:val="133"/>
                <w:rFonts w:ascii="宋体" w:hAnsi="宋体" w:cs="宋体"/>
                <w:bCs/>
                <w:color w:val="000000"/>
                <w:kern w:val="0"/>
                <w:sz w:val="18"/>
                <w:szCs w:val="18"/>
              </w:rPr>
            </w:pPr>
            <w:r>
              <w:rPr>
                <w:rStyle w:val="133"/>
                <w:rFonts w:hint="eastAsia" w:ascii="宋体" w:hAnsi="宋体" w:cs="宋体"/>
                <w:bCs/>
                <w:color w:val="000000"/>
                <w:kern w:val="0"/>
                <w:sz w:val="18"/>
                <w:szCs w:val="18"/>
              </w:rPr>
              <w:t>3</w:t>
            </w:r>
          </w:p>
        </w:tc>
        <w:tc>
          <w:tcPr>
            <w:tcW w:w="4785" w:type="dxa"/>
            <w:shd w:val="clear" w:color="auto" w:fill="auto"/>
            <w:vAlign w:val="center"/>
          </w:tcPr>
          <w:p>
            <w:pPr>
              <w:jc w:val="center"/>
              <w:rPr>
                <w:rFonts w:ascii="宋体"/>
                <w:sz w:val="18"/>
              </w:rPr>
            </w:pPr>
            <w:r>
              <w:rPr>
                <w:rFonts w:hint="eastAsia" w:ascii="宋体"/>
                <w:sz w:val="18"/>
              </w:rPr>
              <w:t>内外标识、提示牌、宣传牌等</w:t>
            </w:r>
          </w:p>
        </w:tc>
        <w:tc>
          <w:tcPr>
            <w:tcW w:w="3543" w:type="dxa"/>
            <w:tcBorders>
              <w:right w:val="single" w:color="auto" w:sz="12" w:space="0"/>
            </w:tcBorders>
            <w:shd w:val="clear" w:color="auto" w:fill="auto"/>
            <w:vAlign w:val="center"/>
          </w:tcPr>
          <w:p>
            <w:pPr>
              <w:jc w:val="center"/>
              <w:rPr>
                <w:rFonts w:ascii="宋体"/>
                <w:sz w:val="18"/>
              </w:rPr>
            </w:pPr>
            <w:r>
              <w:rPr>
                <w:rFonts w:hint="eastAsia" w:ascii="宋体"/>
                <w:sz w:val="18"/>
              </w:rPr>
              <w:t>1天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28" w:type="dxa"/>
            <w:tcBorders>
              <w:left w:val="single" w:color="auto" w:sz="12" w:space="0"/>
            </w:tcBorders>
            <w:shd w:val="clear" w:color="auto" w:fill="auto"/>
            <w:vAlign w:val="center"/>
          </w:tcPr>
          <w:p>
            <w:pPr>
              <w:jc w:val="center"/>
              <w:rPr>
                <w:rStyle w:val="133"/>
                <w:rFonts w:ascii="宋体" w:hAnsi="宋体" w:cs="宋体"/>
                <w:bCs/>
                <w:color w:val="000000"/>
                <w:kern w:val="0"/>
                <w:sz w:val="18"/>
                <w:szCs w:val="18"/>
              </w:rPr>
            </w:pPr>
            <w:r>
              <w:rPr>
                <w:rStyle w:val="133"/>
                <w:rFonts w:hint="eastAsia" w:ascii="宋体" w:hAnsi="宋体" w:cs="宋体"/>
                <w:bCs/>
                <w:color w:val="000000"/>
                <w:kern w:val="0"/>
                <w:sz w:val="18"/>
                <w:szCs w:val="18"/>
              </w:rPr>
              <w:t>4</w:t>
            </w:r>
          </w:p>
        </w:tc>
        <w:tc>
          <w:tcPr>
            <w:tcW w:w="4785" w:type="dxa"/>
            <w:shd w:val="clear" w:color="auto" w:fill="auto"/>
            <w:vAlign w:val="center"/>
          </w:tcPr>
          <w:p>
            <w:pPr>
              <w:jc w:val="center"/>
              <w:rPr>
                <w:rFonts w:ascii="宋体"/>
                <w:sz w:val="18"/>
              </w:rPr>
            </w:pPr>
            <w:r>
              <w:rPr>
                <w:rFonts w:hint="eastAsia" w:ascii="宋体"/>
                <w:sz w:val="18"/>
              </w:rPr>
              <w:t>天花板、墙面、地面、隔断板等</w:t>
            </w:r>
          </w:p>
        </w:tc>
        <w:tc>
          <w:tcPr>
            <w:tcW w:w="3543" w:type="dxa"/>
            <w:tcBorders>
              <w:right w:val="single" w:color="auto" w:sz="12" w:space="0"/>
            </w:tcBorders>
            <w:shd w:val="clear" w:color="auto" w:fill="auto"/>
            <w:vAlign w:val="center"/>
          </w:tcPr>
          <w:p>
            <w:pPr>
              <w:jc w:val="center"/>
              <w:rPr>
                <w:rFonts w:ascii="宋体"/>
                <w:sz w:val="18"/>
              </w:rPr>
            </w:pPr>
            <w:r>
              <w:rPr>
                <w:rFonts w:hint="eastAsia" w:ascii="宋体"/>
                <w:sz w:val="18"/>
              </w:rPr>
              <w:t>3天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28" w:type="dxa"/>
            <w:tcBorders>
              <w:left w:val="single" w:color="auto" w:sz="12" w:space="0"/>
              <w:bottom w:val="single" w:color="auto" w:sz="12" w:space="0"/>
            </w:tcBorders>
            <w:shd w:val="clear" w:color="auto" w:fill="auto"/>
            <w:vAlign w:val="center"/>
          </w:tcPr>
          <w:p>
            <w:pPr>
              <w:jc w:val="center"/>
              <w:rPr>
                <w:rStyle w:val="133"/>
                <w:rFonts w:ascii="宋体" w:hAnsi="宋体" w:cs="宋体"/>
                <w:bCs/>
                <w:color w:val="000000"/>
                <w:kern w:val="0"/>
                <w:sz w:val="18"/>
                <w:szCs w:val="18"/>
              </w:rPr>
            </w:pPr>
            <w:r>
              <w:rPr>
                <w:rStyle w:val="133"/>
                <w:rFonts w:hint="eastAsia" w:ascii="宋体" w:hAnsi="宋体" w:cs="宋体"/>
                <w:bCs/>
                <w:color w:val="000000"/>
                <w:kern w:val="0"/>
                <w:sz w:val="18"/>
                <w:szCs w:val="18"/>
              </w:rPr>
              <w:t>5</w:t>
            </w:r>
          </w:p>
        </w:tc>
        <w:tc>
          <w:tcPr>
            <w:tcW w:w="4785" w:type="dxa"/>
            <w:tcBorders>
              <w:bottom w:val="single" w:color="auto" w:sz="12" w:space="0"/>
            </w:tcBorders>
            <w:shd w:val="clear" w:color="auto" w:fill="auto"/>
            <w:vAlign w:val="center"/>
          </w:tcPr>
          <w:p>
            <w:pPr>
              <w:jc w:val="center"/>
              <w:rPr>
                <w:rFonts w:ascii="宋体"/>
                <w:sz w:val="18"/>
              </w:rPr>
            </w:pPr>
            <w:r>
              <w:rPr>
                <w:rFonts w:hint="eastAsia" w:ascii="宋体"/>
                <w:sz w:val="18"/>
              </w:rPr>
              <w:t>其他大型设备的维修维护</w:t>
            </w:r>
          </w:p>
        </w:tc>
        <w:tc>
          <w:tcPr>
            <w:tcW w:w="3543" w:type="dxa"/>
            <w:tcBorders>
              <w:bottom w:val="single" w:color="auto" w:sz="12" w:space="0"/>
              <w:right w:val="single" w:color="auto" w:sz="12" w:space="0"/>
            </w:tcBorders>
            <w:shd w:val="clear" w:color="auto" w:fill="auto"/>
            <w:vAlign w:val="center"/>
          </w:tcPr>
          <w:p>
            <w:pPr>
              <w:jc w:val="center"/>
              <w:rPr>
                <w:rFonts w:ascii="宋体"/>
                <w:sz w:val="18"/>
              </w:rPr>
            </w:pPr>
            <w:r>
              <w:rPr>
                <w:rFonts w:hint="eastAsia" w:ascii="宋体"/>
                <w:sz w:val="18"/>
              </w:rPr>
              <w:t>7天</w:t>
            </w:r>
          </w:p>
        </w:tc>
      </w:tr>
    </w:tbl>
    <w:p>
      <w:pPr>
        <w:pStyle w:val="41"/>
        <w:spacing w:before="156" w:after="156"/>
      </w:pPr>
      <w:r>
        <w:rPr>
          <w:rFonts w:hint="eastAsia"/>
        </w:rPr>
        <w:t>智能化系统</w:t>
      </w:r>
    </w:p>
    <w:p>
      <w:pPr>
        <w:pStyle w:val="108"/>
      </w:pPr>
      <w:r>
        <w:rPr>
          <w:rFonts w:hint="eastAsia"/>
        </w:rPr>
        <w:t>管理员应每日对智能化系统进行清洁，实时维护系统的干净完好</w:t>
      </w:r>
      <w:r>
        <w:rPr>
          <w:rFonts w:hint="eastAsia" w:hAnsi="宋体"/>
        </w:rPr>
        <w:t>；每季度清理打扫室外通风口。</w:t>
      </w:r>
    </w:p>
    <w:p>
      <w:pPr>
        <w:pStyle w:val="108"/>
      </w:pPr>
      <w:r>
        <w:rPr>
          <w:rFonts w:hint="eastAsia"/>
        </w:rPr>
        <w:t>维修员应至少每季度对智能化系统进行一次检查、测试、保养、维修，有特殊要求的可增加巡检次数，确保设备正常运行。</w:t>
      </w:r>
    </w:p>
    <w:p>
      <w:pPr>
        <w:pStyle w:val="108"/>
      </w:pPr>
      <w:r>
        <w:rPr>
          <w:rFonts w:hint="eastAsia" w:hAnsi="宋体"/>
        </w:rPr>
        <w:t>系统管理人员应实时对智能化系统进行监管。发生异常时，应及时通过后台进行处理；后台无法处理的，应第一时间调派人员赴现场进行处理。</w:t>
      </w:r>
    </w:p>
    <w:p>
      <w:pPr>
        <w:pStyle w:val="108"/>
      </w:pPr>
      <w:r>
        <w:rPr>
          <w:rFonts w:hint="eastAsia"/>
        </w:rPr>
        <w:t>突然断电时现场人员应立即关闭电源，以防止线路恢复供电时，传感器及触摸屏自行通电而对机内元件造成损害。</w:t>
      </w:r>
    </w:p>
    <w:p>
      <w:pPr>
        <w:pStyle w:val="108"/>
      </w:pPr>
      <w:r>
        <w:rPr>
          <w:rFonts w:hint="eastAsia"/>
        </w:rPr>
        <w:t>应定期对</w:t>
      </w:r>
      <w:r>
        <w:rPr>
          <w:rFonts w:hint="eastAsia" w:hAnsi="宋体"/>
        </w:rPr>
        <w:t>智能化</w:t>
      </w:r>
      <w:r>
        <w:rPr>
          <w:rFonts w:hint="eastAsia"/>
        </w:rPr>
        <w:t>系统信息进行收集与备份，有异常的及时协调处理。</w:t>
      </w:r>
    </w:p>
    <w:p>
      <w:pPr>
        <w:pStyle w:val="41"/>
        <w:spacing w:before="156" w:after="156"/>
      </w:pPr>
      <w:r>
        <w:rPr>
          <w:rFonts w:hint="eastAsia"/>
        </w:rPr>
        <w:t>便民服务设施设备</w:t>
      </w:r>
    </w:p>
    <w:p>
      <w:pPr>
        <w:pStyle w:val="108"/>
      </w:pPr>
      <w:r>
        <w:rPr>
          <w:rFonts w:hint="eastAsia"/>
        </w:rPr>
        <w:t>应定期对无线网络的稳定性进行检查和维护。</w:t>
      </w:r>
    </w:p>
    <w:p>
      <w:pPr>
        <w:pStyle w:val="108"/>
      </w:pPr>
      <w:r>
        <w:rPr>
          <w:rFonts w:hint="eastAsia"/>
        </w:rPr>
        <w:t>应定期对直饮水设备的滤芯进行检查，滤芯不合格时应进行更换。</w:t>
      </w:r>
    </w:p>
    <w:p>
      <w:pPr>
        <w:pStyle w:val="108"/>
      </w:pPr>
      <w:r>
        <w:rPr>
          <w:rFonts w:hint="eastAsia"/>
        </w:rPr>
        <w:t>应定期对称重仪进行校准，确保设备的准确度。</w:t>
      </w:r>
    </w:p>
    <w:p>
      <w:pPr>
        <w:pStyle w:val="108"/>
      </w:pPr>
      <w:r>
        <w:rPr>
          <w:rFonts w:hint="eastAsia"/>
        </w:rPr>
        <w:t>应定期统计急救医药箱内的药品数量、种类，及时进行补充；药品超出有效期的，应及时更换。急救医药箱应上锁，由管理员专管。</w:t>
      </w:r>
    </w:p>
    <w:p>
      <w:pPr>
        <w:pStyle w:val="108"/>
      </w:pPr>
      <w:r>
        <w:rPr>
          <w:rFonts w:hint="eastAsia"/>
        </w:rPr>
        <w:t>应定期对共享雨伞进行检查，确保雨伞数量不少于3把；有故障的应及时收回并补充。</w:t>
      </w:r>
    </w:p>
    <w:p>
      <w:pPr>
        <w:pStyle w:val="108"/>
      </w:pPr>
      <w:r>
        <w:rPr>
          <w:rFonts w:hint="eastAsia"/>
        </w:rPr>
        <w:t>应定期对图书漂流角书刊进行整理、检查和补充，破损严重的书刊应及时淘汰并补充。</w:t>
      </w:r>
    </w:p>
    <w:p>
      <w:pPr>
        <w:pStyle w:val="108"/>
      </w:pPr>
      <w:r>
        <w:rPr>
          <w:rFonts w:hint="eastAsia"/>
        </w:rPr>
        <w:t>应定期补充擦鞋机的鞋油，且鞋油应上锁，由管理员专管。</w:t>
      </w:r>
    </w:p>
    <w:p>
      <w:pPr>
        <w:pStyle w:val="37"/>
      </w:pPr>
      <w:bookmarkStart w:id="140" w:name="_Toc115276290"/>
      <w:bookmarkStart w:id="141" w:name="_Toc116553088"/>
      <w:bookmarkStart w:id="142" w:name="_Toc115257567"/>
      <w:bookmarkStart w:id="143" w:name="_Toc117168605"/>
      <w:bookmarkStart w:id="144" w:name="_Toc129093093"/>
      <w:bookmarkStart w:id="145" w:name="_Toc129092909"/>
      <w:r>
        <w:rPr>
          <w:rFonts w:hint="eastAsia"/>
        </w:rPr>
        <w:t>保洁用品管理</w:t>
      </w:r>
      <w:bookmarkEnd w:id="140"/>
      <w:bookmarkEnd w:id="141"/>
      <w:bookmarkEnd w:id="142"/>
      <w:bookmarkEnd w:id="143"/>
      <w:bookmarkEnd w:id="144"/>
      <w:bookmarkEnd w:id="145"/>
    </w:p>
    <w:p>
      <w:pPr>
        <w:pStyle w:val="58"/>
      </w:pPr>
      <w:r>
        <w:rPr>
          <w:rFonts w:hint="eastAsia"/>
        </w:rPr>
        <w:t>保洁用品的管理遵守“谁使用、谁保管、谁负责”的原则。</w:t>
      </w:r>
    </w:p>
    <w:p>
      <w:pPr>
        <w:pStyle w:val="58"/>
      </w:pPr>
      <w:r>
        <w:rPr>
          <w:rFonts w:hint="eastAsia"/>
        </w:rPr>
        <w:t>保洁用品应由管理主体定期统一发放，已分发到驿站的保洁用具应由管理员负责保管、保养。</w:t>
      </w:r>
    </w:p>
    <w:p>
      <w:pPr>
        <w:pStyle w:val="58"/>
      </w:pPr>
      <w:r>
        <w:rPr>
          <w:rFonts w:hint="eastAsia"/>
        </w:rPr>
        <w:t>需轮流使用的保洁用品，轮岗管理员应做好交接工作，分清各自的责任和义务，因交接工作不到位而无法确定保洁工具损坏或遗失的责任人时，由交接双方共同承担相应的责任。</w:t>
      </w:r>
    </w:p>
    <w:p>
      <w:pPr>
        <w:pStyle w:val="58"/>
      </w:pPr>
      <w:r>
        <w:rPr>
          <w:rFonts w:hint="eastAsia"/>
        </w:rPr>
        <w:t>保洁用品的使用应厉行节约，减少浪费，不应挪为他用或私用。</w:t>
      </w:r>
    </w:p>
    <w:p>
      <w:pPr>
        <w:pStyle w:val="58"/>
      </w:pPr>
      <w:r>
        <w:rPr>
          <w:rFonts w:hint="eastAsia"/>
        </w:rPr>
        <w:t>清洁工具应分类管理，干湿分离，标识清晰，并摆放整齐。</w:t>
      </w:r>
    </w:p>
    <w:p>
      <w:pPr>
        <w:pStyle w:val="58"/>
      </w:pPr>
      <w:r>
        <w:rPr>
          <w:rFonts w:hint="eastAsia" w:hAnsi="宋体"/>
        </w:rPr>
        <w:t>保洁用品除放置在洗手台上的洗手液外，其余均应上锁。</w:t>
      </w:r>
    </w:p>
    <w:p>
      <w:pPr>
        <w:pStyle w:val="58"/>
      </w:pPr>
      <w:r>
        <w:rPr>
          <w:rFonts w:hint="eastAsia"/>
        </w:rPr>
        <w:t>管理主体应定期对保洁用品用具的使用情况进行检查，并做好检查记录。发现不合格情况时，应要求管理员限期整改。</w:t>
      </w:r>
    </w:p>
    <w:p>
      <w:pPr>
        <w:pStyle w:val="37"/>
      </w:pPr>
      <w:bookmarkStart w:id="146" w:name="_Toc117168606"/>
      <w:bookmarkStart w:id="147" w:name="_Toc129093094"/>
      <w:bookmarkStart w:id="148" w:name="_Toc129092910"/>
      <w:r>
        <w:rPr>
          <w:rFonts w:hint="eastAsia"/>
        </w:rPr>
        <w:t>安全管理</w:t>
      </w:r>
      <w:bookmarkEnd w:id="146"/>
      <w:bookmarkEnd w:id="147"/>
      <w:bookmarkEnd w:id="148"/>
    </w:p>
    <w:p>
      <w:pPr>
        <w:pStyle w:val="58"/>
      </w:pPr>
      <w:r>
        <w:rPr>
          <w:rFonts w:hint="eastAsia"/>
        </w:rPr>
        <w:t>管理主体应建立、健全驿站的安全运营责任制，明确各个人员的工作及职责。</w:t>
      </w:r>
    </w:p>
    <w:p>
      <w:pPr>
        <w:pStyle w:val="58"/>
      </w:pPr>
      <w:r>
        <w:rPr>
          <w:rFonts w:hint="eastAsia"/>
        </w:rPr>
        <w:t>管理主体应对各个人员进行安全教育培训。</w:t>
      </w:r>
    </w:p>
    <w:p>
      <w:pPr>
        <w:pStyle w:val="58"/>
      </w:pPr>
      <w:r>
        <w:rPr>
          <w:rFonts w:hint="eastAsia"/>
        </w:rPr>
        <w:t>管理主体应定期对消防器材进行维护保养，确保消防器材正常使用。灭火器应设置在明显易取的位置。</w:t>
      </w:r>
    </w:p>
    <w:p>
      <w:pPr>
        <w:pStyle w:val="58"/>
      </w:pPr>
      <w:r>
        <w:rPr>
          <w:rFonts w:hint="eastAsia"/>
        </w:rPr>
        <w:t>管理主体应</w:t>
      </w:r>
      <w:r>
        <w:rPr>
          <w:rFonts w:hint="eastAsia"/>
          <w:lang w:val="zh-CN"/>
        </w:rPr>
        <w:t>定期对驿站进行综合隐患排查，提出整改措施，督促隐患治理。</w:t>
      </w:r>
    </w:p>
    <w:p>
      <w:pPr>
        <w:pStyle w:val="58"/>
      </w:pPr>
      <w:r>
        <w:rPr>
          <w:rFonts w:hint="eastAsia"/>
        </w:rPr>
        <w:t>不应在管理间、工具间等区域使用明火及放置易燃、易爆、易腐蚀等危险品。不应在驿站内私自接水、接电、淘菜、洗衣等。</w:t>
      </w:r>
    </w:p>
    <w:p>
      <w:pPr>
        <w:pStyle w:val="58"/>
      </w:pPr>
      <w:r>
        <w:rPr>
          <w:rFonts w:hint="eastAsia"/>
        </w:rPr>
        <w:t>遇雨雪等恶劣天气应适时开启照明设备并铺设防滑垫，及时扫雪（水）除冰，并设置相关警示标志。</w:t>
      </w:r>
    </w:p>
    <w:p>
      <w:pPr>
        <w:pStyle w:val="58"/>
      </w:pPr>
      <w:r>
        <w:rPr>
          <w:rFonts w:hint="eastAsia"/>
        </w:rPr>
        <w:t>驿站应配备必要的个体防护用品，如口罩、手套等，并监督、指导人员正确佩戴、使用。</w:t>
      </w:r>
    </w:p>
    <w:p>
      <w:pPr>
        <w:pStyle w:val="58"/>
      </w:pPr>
      <w:r>
        <w:rPr>
          <w:rFonts w:hint="eastAsia"/>
        </w:rPr>
        <w:t>消杀药品应定点存放，并对使用情况登记建档。消杀全过程应做好安全防护。不应使用强腐蚀性清洁剂。</w:t>
      </w:r>
    </w:p>
    <w:p>
      <w:pPr>
        <w:pStyle w:val="58"/>
      </w:pPr>
      <w:r>
        <w:rPr>
          <w:rFonts w:hint="eastAsia"/>
        </w:rPr>
        <w:t>管理主体应制定突发事件应急预案，对危害国家安全、人身安全的事件进行快速反应。</w:t>
      </w:r>
    </w:p>
    <w:p>
      <w:pPr>
        <w:pStyle w:val="37"/>
      </w:pPr>
      <w:bookmarkStart w:id="149" w:name="_Toc117168607"/>
      <w:bookmarkStart w:id="150" w:name="_Toc129092911"/>
      <w:bookmarkStart w:id="151" w:name="_Toc116553089"/>
      <w:bookmarkStart w:id="152" w:name="_Toc115276291"/>
      <w:bookmarkStart w:id="153" w:name="_Toc129093095"/>
      <w:r>
        <w:rPr>
          <w:rFonts w:hint="eastAsia"/>
        </w:rPr>
        <w:t>文件管理</w:t>
      </w:r>
      <w:bookmarkEnd w:id="149"/>
      <w:bookmarkEnd w:id="150"/>
      <w:bookmarkEnd w:id="151"/>
      <w:bookmarkEnd w:id="152"/>
      <w:bookmarkEnd w:id="153"/>
    </w:p>
    <w:p>
      <w:pPr>
        <w:pStyle w:val="58"/>
      </w:pPr>
      <w:r>
        <w:rPr>
          <w:rFonts w:hint="eastAsia"/>
        </w:rPr>
        <w:t>应做好文件建档及重要工作、活动记录建档，档案应按相关规定进行保存，并明确人员进行保管与维护。</w:t>
      </w:r>
    </w:p>
    <w:p>
      <w:pPr>
        <w:pStyle w:val="58"/>
      </w:pPr>
      <w:r>
        <w:rPr>
          <w:rFonts w:hint="eastAsia"/>
        </w:rPr>
        <w:t>管理主体应分类管理并保存以下文件：</w:t>
      </w:r>
    </w:p>
    <w:p>
      <w:pPr>
        <w:pStyle w:val="43"/>
      </w:pPr>
      <w:r>
        <w:rPr>
          <w:rFonts w:hint="eastAsia"/>
        </w:rPr>
        <w:t>驿站的设计图纸、验收资料；</w:t>
      </w:r>
    </w:p>
    <w:p>
      <w:pPr>
        <w:pStyle w:val="43"/>
      </w:pPr>
      <w:r>
        <w:rPr>
          <w:rFonts w:hint="eastAsia"/>
        </w:rPr>
        <w:t>与管养单位签订的委托合同或协议；</w:t>
      </w:r>
    </w:p>
    <w:p>
      <w:pPr>
        <w:pStyle w:val="43"/>
      </w:pPr>
      <w:r>
        <w:rPr>
          <w:rFonts w:hint="eastAsia"/>
        </w:rPr>
        <w:t>各项管理制度等。</w:t>
      </w:r>
    </w:p>
    <w:p>
      <w:pPr>
        <w:pStyle w:val="58"/>
      </w:pPr>
      <w:r>
        <w:rPr>
          <w:rFonts w:hint="eastAsia"/>
        </w:rPr>
        <w:t>管养单位应分类管理并保存以下文件：</w:t>
      </w:r>
    </w:p>
    <w:p>
      <w:pPr>
        <w:pStyle w:val="43"/>
      </w:pPr>
      <w:r>
        <w:rPr>
          <w:rFonts w:hint="eastAsia"/>
        </w:rPr>
        <w:t>日常清洁、消毒、检查、维修、培训等相关操作及活动记录；</w:t>
      </w:r>
    </w:p>
    <w:p>
      <w:pPr>
        <w:pStyle w:val="43"/>
      </w:pPr>
      <w:r>
        <w:rPr>
          <w:rFonts w:hint="eastAsia"/>
        </w:rPr>
        <w:t>公众意见本、投诉记录等。</w:t>
      </w:r>
    </w:p>
    <w:p>
      <w:pPr>
        <w:pStyle w:val="40"/>
      </w:pPr>
      <w:bookmarkStart w:id="154" w:name="_Toc117168608"/>
      <w:bookmarkStart w:id="155" w:name="_Toc129092912"/>
      <w:bookmarkStart w:id="156" w:name="_Toc129093096"/>
      <w:bookmarkStart w:id="157" w:name="_Toc115276292"/>
      <w:bookmarkStart w:id="158" w:name="_Toc116553090"/>
      <w:r>
        <w:rPr>
          <w:rFonts w:hint="eastAsia"/>
        </w:rPr>
        <w:t>评价与改进要求</w:t>
      </w:r>
      <w:bookmarkEnd w:id="154"/>
      <w:bookmarkEnd w:id="155"/>
      <w:bookmarkEnd w:id="156"/>
      <w:bookmarkEnd w:id="157"/>
      <w:bookmarkEnd w:id="158"/>
    </w:p>
    <w:p>
      <w:pPr>
        <w:pStyle w:val="37"/>
      </w:pPr>
      <w:bookmarkStart w:id="159" w:name="_Toc129092913"/>
      <w:bookmarkStart w:id="160" w:name="_Toc117168609"/>
      <w:bookmarkStart w:id="161" w:name="_Toc129093097"/>
      <w:r>
        <w:rPr>
          <w:rFonts w:hint="eastAsia"/>
        </w:rPr>
        <w:t>监督与检查</w:t>
      </w:r>
      <w:bookmarkEnd w:id="159"/>
      <w:bookmarkEnd w:id="160"/>
      <w:bookmarkEnd w:id="161"/>
    </w:p>
    <w:p>
      <w:pPr>
        <w:pStyle w:val="41"/>
        <w:spacing w:before="156" w:after="156"/>
      </w:pPr>
      <w:r>
        <w:rPr>
          <w:rFonts w:hint="eastAsia"/>
        </w:rPr>
        <w:t>巡查</w:t>
      </w:r>
    </w:p>
    <w:p>
      <w:pPr>
        <w:pStyle w:val="108"/>
      </w:pPr>
      <w:r>
        <w:rPr>
          <w:rFonts w:hint="eastAsia"/>
        </w:rPr>
        <w:t>管理主体应每日对责任片区内的驿站进行巡查，每日巡查比例应不低于1/5，确保每周对责任片区内的驿站巡查一遍。</w:t>
      </w:r>
    </w:p>
    <w:p>
      <w:pPr>
        <w:pStyle w:val="108"/>
      </w:pPr>
      <w:r>
        <w:rPr>
          <w:rFonts w:hint="eastAsia"/>
        </w:rPr>
        <w:t>监管单位应定期对驿站运营情况进行巡查，发现问题及时通知管理主体及管养单位进行整改。</w:t>
      </w:r>
    </w:p>
    <w:p>
      <w:pPr>
        <w:pStyle w:val="41"/>
        <w:spacing w:before="156" w:after="156"/>
      </w:pPr>
      <w:bookmarkStart w:id="162" w:name="_Toc115276293"/>
      <w:bookmarkStart w:id="163" w:name="_Toc116553091"/>
      <w:r>
        <w:rPr>
          <w:rFonts w:hint="eastAsia"/>
        </w:rPr>
        <w:t>公众评价</w:t>
      </w:r>
      <w:bookmarkEnd w:id="162"/>
      <w:bookmarkEnd w:id="163"/>
      <w:r>
        <w:rPr>
          <w:rFonts w:hint="eastAsia"/>
        </w:rPr>
        <w:t>与投诉</w:t>
      </w:r>
    </w:p>
    <w:p>
      <w:pPr>
        <w:pStyle w:val="108"/>
      </w:pPr>
      <w:r>
        <w:rPr>
          <w:rFonts w:hint="eastAsia"/>
        </w:rPr>
        <w:t>管理主体应在驿站内设意见本或意见箱，定期收集、分析公众意见。</w:t>
      </w:r>
    </w:p>
    <w:p>
      <w:pPr>
        <w:pStyle w:val="108"/>
      </w:pPr>
      <w:r>
        <w:rPr>
          <w:rFonts w:hint="eastAsia"/>
        </w:rPr>
        <w:t>管理主体应定期开展公众满意度调查，收集、分析公众对服务效果的反馈情况。</w:t>
      </w:r>
    </w:p>
    <w:p>
      <w:pPr>
        <w:pStyle w:val="108"/>
      </w:pPr>
      <w:r>
        <w:rPr>
          <w:rFonts w:hint="eastAsia"/>
        </w:rPr>
        <w:t>管理主体应在驿站内的显著位置公开投诉渠道，渠道包括：投诉电话、电子邮箱、二维码及公众号等。投诉应在3个工作日内处理完结，对情况复杂的投诉，如设备损坏严重需大面积修补维护的，经上级主管部门批准可适当延长办理时限。</w:t>
      </w:r>
    </w:p>
    <w:p>
      <w:pPr>
        <w:pStyle w:val="37"/>
      </w:pPr>
      <w:bookmarkStart w:id="164" w:name="_Toc117168610"/>
      <w:bookmarkStart w:id="165" w:name="_Toc129092914"/>
      <w:bookmarkStart w:id="166" w:name="_Toc129093098"/>
      <w:bookmarkStart w:id="167" w:name="_Toc116553092"/>
      <w:bookmarkStart w:id="168" w:name="_Toc115276294"/>
      <w:r>
        <w:rPr>
          <w:rFonts w:hint="eastAsia"/>
        </w:rPr>
        <w:t>服务改进</w:t>
      </w:r>
      <w:bookmarkEnd w:id="164"/>
      <w:bookmarkEnd w:id="165"/>
      <w:bookmarkEnd w:id="166"/>
      <w:bookmarkEnd w:id="167"/>
      <w:bookmarkEnd w:id="168"/>
    </w:p>
    <w:p>
      <w:pPr>
        <w:pStyle w:val="21"/>
      </w:pPr>
      <w:r>
        <w:rPr>
          <w:rFonts w:hint="eastAsia"/>
        </w:rPr>
        <w:t>管养单位应根据公众意见、投诉、满意度调查以及管理主体和主管部门的检查结果，分析原因，并采取有效的纠正和预防措施，持续改进服务。</w:t>
      </w:r>
    </w:p>
    <w:p>
      <w:pPr>
        <w:pStyle w:val="21"/>
      </w:pPr>
    </w:p>
    <w:p>
      <w:pPr>
        <w:pStyle w:val="93"/>
      </w:pPr>
    </w:p>
    <w:p>
      <w:pPr>
        <w:pStyle w:val="81"/>
      </w:pPr>
    </w:p>
    <w:p>
      <w:pPr>
        <w:pStyle w:val="79"/>
      </w:pPr>
      <w:r>
        <w:br w:type="textWrapping"/>
      </w:r>
      <w:bookmarkStart w:id="169" w:name="_Toc117168611"/>
      <w:bookmarkStart w:id="170" w:name="_Toc129092915"/>
      <w:bookmarkStart w:id="171" w:name="_Toc116553093"/>
      <w:bookmarkStart w:id="172" w:name="_Toc129093099"/>
      <w:r>
        <w:rPr>
          <w:rFonts w:hint="eastAsia"/>
        </w:rPr>
        <w:t>（规范性）</w:t>
      </w:r>
      <w:r>
        <w:br w:type="textWrapping"/>
      </w:r>
      <w:r>
        <w:rPr>
          <w:rFonts w:hint="eastAsia"/>
        </w:rPr>
        <w:t>智能化系统基本要求</w:t>
      </w:r>
      <w:bookmarkEnd w:id="169"/>
      <w:bookmarkEnd w:id="170"/>
      <w:bookmarkEnd w:id="171"/>
      <w:bookmarkEnd w:id="172"/>
    </w:p>
    <w:p>
      <w:pPr>
        <w:pStyle w:val="97"/>
        <w:spacing w:before="156" w:beforeLines="50" w:after="156" w:afterLines="50"/>
      </w:pPr>
      <w:r>
        <w:rPr>
          <w:rFonts w:hint="eastAsia"/>
        </w:rPr>
        <w:t>系统组成</w:t>
      </w:r>
    </w:p>
    <w:p>
      <w:pPr>
        <w:pStyle w:val="21"/>
      </w:pPr>
      <w:r>
        <w:rPr>
          <w:rFonts w:hint="eastAsia"/>
        </w:rPr>
        <w:t>智能化系统应至少包含以下三个部分：</w:t>
      </w:r>
    </w:p>
    <w:p>
      <w:pPr>
        <w:pStyle w:val="54"/>
        <w:numPr>
          <w:ilvl w:val="0"/>
          <w:numId w:val="13"/>
        </w:numPr>
      </w:pPr>
      <w:r>
        <w:rPr>
          <w:rFonts w:hint="eastAsia" w:hAnsi="宋体"/>
        </w:rPr>
        <w:t>新风除臭系统；</w:t>
      </w:r>
    </w:p>
    <w:p>
      <w:pPr>
        <w:pStyle w:val="54"/>
        <w:numPr>
          <w:ilvl w:val="0"/>
          <w:numId w:val="13"/>
        </w:numPr>
      </w:pPr>
      <w:r>
        <w:rPr>
          <w:rFonts w:hint="eastAsia" w:hAnsi="宋体"/>
        </w:rPr>
        <w:t>智能化设备；</w:t>
      </w:r>
    </w:p>
    <w:p>
      <w:pPr>
        <w:pStyle w:val="54"/>
        <w:numPr>
          <w:ilvl w:val="0"/>
          <w:numId w:val="13"/>
        </w:numPr>
      </w:pPr>
      <w:r>
        <w:rPr>
          <w:rFonts w:hint="eastAsia" w:hAnsi="宋体"/>
        </w:rPr>
        <w:t>智慧管理平台。</w:t>
      </w:r>
    </w:p>
    <w:p>
      <w:pPr>
        <w:pStyle w:val="97"/>
        <w:spacing w:before="156" w:beforeLines="50" w:after="156" w:afterLines="50"/>
      </w:pPr>
      <w:r>
        <w:rPr>
          <w:rFonts w:hint="eastAsia" w:hAnsi="宋体"/>
        </w:rPr>
        <w:t>新风除臭系统</w:t>
      </w:r>
    </w:p>
    <w:p>
      <w:pPr>
        <w:pStyle w:val="21"/>
      </w:pPr>
      <w:r>
        <w:rPr>
          <w:rFonts w:hint="eastAsia" w:hAnsi="宋体"/>
        </w:rPr>
        <w:t>新风除臭系统</w:t>
      </w:r>
      <w:r>
        <w:rPr>
          <w:rFonts w:hint="eastAsia"/>
        </w:rPr>
        <w:t>的组成模块及功能应符合表A.1的规定。</w:t>
      </w:r>
    </w:p>
    <w:p>
      <w:pPr>
        <w:pStyle w:val="122"/>
        <w:tabs>
          <w:tab w:val="clear" w:pos="360"/>
        </w:tabs>
      </w:pPr>
      <w:r>
        <w:rPr>
          <w:rFonts w:hint="eastAsia"/>
        </w:rPr>
        <w:t xml:space="preserve">表A.1  </w:t>
      </w:r>
      <w:r>
        <w:rPr>
          <w:rFonts w:hint="eastAsia" w:hAnsi="宋体"/>
        </w:rPr>
        <w:t>新风除臭系统</w:t>
      </w:r>
      <w:r>
        <w:rPr>
          <w:rFonts w:hint="eastAsia"/>
        </w:rPr>
        <w:t>模块及功能</w:t>
      </w:r>
    </w:p>
    <w:tbl>
      <w:tblPr>
        <w:tblStyle w:val="29"/>
        <w:tblW w:w="90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93"/>
        <w:gridCol w:w="2410"/>
        <w:gridCol w:w="3155"/>
        <w:gridCol w:w="25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93" w:type="dxa"/>
            <w:tcBorders>
              <w:top w:val="single" w:color="auto" w:sz="12" w:space="0"/>
              <w:left w:val="single" w:color="auto" w:sz="12" w:space="0"/>
              <w:bottom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序号</w:t>
            </w:r>
          </w:p>
        </w:tc>
        <w:tc>
          <w:tcPr>
            <w:tcW w:w="2410" w:type="dxa"/>
            <w:tcBorders>
              <w:top w:val="single" w:color="auto" w:sz="12" w:space="0"/>
              <w:bottom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模块</w:t>
            </w:r>
          </w:p>
        </w:tc>
        <w:tc>
          <w:tcPr>
            <w:tcW w:w="3155" w:type="dxa"/>
            <w:tcBorders>
              <w:top w:val="single" w:color="auto" w:sz="12" w:space="0"/>
              <w:bottom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设备名称</w:t>
            </w:r>
          </w:p>
        </w:tc>
        <w:tc>
          <w:tcPr>
            <w:tcW w:w="2514" w:type="dxa"/>
            <w:tcBorders>
              <w:top w:val="single" w:color="auto" w:sz="12" w:space="0"/>
              <w:bottom w:val="single" w:color="auto" w:sz="12" w:space="0"/>
              <w:right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93" w:type="dxa"/>
            <w:vMerge w:val="restart"/>
            <w:tcBorders>
              <w:top w:val="single" w:color="auto" w:sz="12" w:space="0"/>
              <w:left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1</w:t>
            </w:r>
          </w:p>
        </w:tc>
        <w:tc>
          <w:tcPr>
            <w:tcW w:w="2410" w:type="dxa"/>
            <w:vMerge w:val="restart"/>
            <w:tcBorders>
              <w:top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空气品质管理系统</w:t>
            </w:r>
          </w:p>
        </w:tc>
        <w:tc>
          <w:tcPr>
            <w:tcW w:w="3155" w:type="dxa"/>
            <w:tcBorders>
              <w:top w:val="single" w:color="auto" w:sz="12" w:space="0"/>
            </w:tcBorders>
            <w:shd w:val="clear" w:color="auto" w:fill="auto"/>
            <w:vAlign w:val="center"/>
          </w:tcPr>
          <w:p>
            <w:pPr>
              <w:spacing w:line="240" w:lineRule="exact"/>
              <w:jc w:val="center"/>
              <w:rPr>
                <w:rFonts w:ascii="宋体"/>
                <w:kern w:val="21"/>
                <w:sz w:val="18"/>
                <w:szCs w:val="18"/>
              </w:rPr>
            </w:pPr>
            <w:r>
              <w:rPr>
                <w:rFonts w:hint="eastAsia" w:ascii="宋体"/>
                <w:kern w:val="21"/>
                <w:sz w:val="18"/>
                <w:szCs w:val="18"/>
              </w:rPr>
              <w:t>除臭一体机</w:t>
            </w:r>
          </w:p>
        </w:tc>
        <w:tc>
          <w:tcPr>
            <w:tcW w:w="2514" w:type="dxa"/>
            <w:tcBorders>
              <w:top w:val="single" w:color="auto" w:sz="12" w:space="0"/>
              <w:right w:val="single" w:color="auto" w:sz="12" w:space="0"/>
            </w:tcBorders>
            <w:shd w:val="clear" w:color="auto" w:fill="auto"/>
            <w:vAlign w:val="center"/>
          </w:tcPr>
          <w:p>
            <w:pPr>
              <w:spacing w:line="240" w:lineRule="exact"/>
              <w:jc w:val="center"/>
              <w:rPr>
                <w:rFonts w:ascii="宋体"/>
                <w:kern w:val="21"/>
                <w:sz w:val="18"/>
                <w:szCs w:val="18"/>
              </w:rPr>
            </w:pPr>
            <w:r>
              <w:rPr>
                <w:rFonts w:hint="eastAsia" w:ascii="宋体"/>
                <w:kern w:val="21"/>
                <w:sz w:val="18"/>
                <w:szCs w:val="18"/>
              </w:rPr>
              <w:t>新风、除臭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93" w:type="dxa"/>
            <w:vMerge w:val="continue"/>
            <w:tcBorders>
              <w:left w:val="single" w:color="auto" w:sz="12" w:space="0"/>
            </w:tcBorders>
            <w:shd w:val="clear" w:color="auto" w:fill="auto"/>
            <w:vAlign w:val="center"/>
          </w:tcPr>
          <w:p>
            <w:pPr>
              <w:pStyle w:val="99"/>
              <w:numPr>
                <w:ilvl w:val="0"/>
                <w:numId w:val="0"/>
              </w:numPr>
              <w:jc w:val="center"/>
              <w:rPr>
                <w:sz w:val="18"/>
                <w:szCs w:val="18"/>
              </w:rPr>
            </w:pPr>
          </w:p>
        </w:tc>
        <w:tc>
          <w:tcPr>
            <w:tcW w:w="2410" w:type="dxa"/>
            <w:vMerge w:val="continue"/>
            <w:shd w:val="clear" w:color="auto" w:fill="auto"/>
            <w:vAlign w:val="center"/>
          </w:tcPr>
          <w:p>
            <w:pPr>
              <w:pStyle w:val="99"/>
              <w:numPr>
                <w:ilvl w:val="0"/>
                <w:numId w:val="0"/>
              </w:numPr>
              <w:jc w:val="center"/>
              <w:rPr>
                <w:sz w:val="18"/>
                <w:szCs w:val="18"/>
              </w:rPr>
            </w:pPr>
          </w:p>
        </w:tc>
        <w:tc>
          <w:tcPr>
            <w:tcW w:w="3155" w:type="dxa"/>
            <w:shd w:val="clear" w:color="auto" w:fill="auto"/>
            <w:vAlign w:val="center"/>
          </w:tcPr>
          <w:p>
            <w:pPr>
              <w:spacing w:line="240" w:lineRule="exact"/>
              <w:jc w:val="center"/>
              <w:rPr>
                <w:rFonts w:ascii="宋体"/>
                <w:kern w:val="21"/>
                <w:sz w:val="18"/>
                <w:szCs w:val="18"/>
              </w:rPr>
            </w:pPr>
            <w:r>
              <w:rPr>
                <w:rFonts w:hint="eastAsia" w:ascii="宋体"/>
                <w:kern w:val="21"/>
                <w:sz w:val="18"/>
                <w:szCs w:val="18"/>
              </w:rPr>
              <w:t>香氛系统（选加）</w:t>
            </w:r>
          </w:p>
        </w:tc>
        <w:tc>
          <w:tcPr>
            <w:tcW w:w="2514" w:type="dxa"/>
            <w:tcBorders>
              <w:right w:val="single" w:color="auto" w:sz="12" w:space="0"/>
            </w:tcBorders>
            <w:shd w:val="clear" w:color="auto" w:fill="auto"/>
            <w:vAlign w:val="center"/>
          </w:tcPr>
          <w:p>
            <w:pPr>
              <w:spacing w:line="240" w:lineRule="exact"/>
              <w:jc w:val="center"/>
              <w:rPr>
                <w:rFonts w:ascii="宋体"/>
                <w:kern w:val="21"/>
                <w:sz w:val="18"/>
                <w:szCs w:val="18"/>
              </w:rPr>
            </w:pPr>
            <w:r>
              <w:rPr>
                <w:rFonts w:hint="eastAsia" w:ascii="宋体"/>
                <w:kern w:val="21"/>
                <w:sz w:val="18"/>
                <w:szCs w:val="18"/>
              </w:rPr>
              <w:t>空气香氛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93" w:type="dxa"/>
            <w:vMerge w:val="restart"/>
            <w:tcBorders>
              <w:left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2</w:t>
            </w:r>
          </w:p>
        </w:tc>
        <w:tc>
          <w:tcPr>
            <w:tcW w:w="2410" w:type="dxa"/>
            <w:vMerge w:val="restart"/>
            <w:shd w:val="clear" w:color="auto" w:fill="auto"/>
            <w:vAlign w:val="center"/>
          </w:tcPr>
          <w:p>
            <w:pPr>
              <w:pStyle w:val="99"/>
              <w:numPr>
                <w:ilvl w:val="0"/>
                <w:numId w:val="0"/>
              </w:numPr>
              <w:jc w:val="center"/>
              <w:rPr>
                <w:sz w:val="18"/>
                <w:szCs w:val="18"/>
              </w:rPr>
            </w:pPr>
            <w:r>
              <w:rPr>
                <w:rFonts w:hint="eastAsia"/>
                <w:sz w:val="18"/>
                <w:szCs w:val="18"/>
              </w:rPr>
              <w:t>智能传输单元</w:t>
            </w:r>
          </w:p>
        </w:tc>
        <w:tc>
          <w:tcPr>
            <w:tcW w:w="3155" w:type="dxa"/>
            <w:shd w:val="clear" w:color="auto" w:fill="auto"/>
            <w:vAlign w:val="center"/>
          </w:tcPr>
          <w:p>
            <w:pPr>
              <w:spacing w:line="240" w:lineRule="exact"/>
              <w:jc w:val="center"/>
              <w:rPr>
                <w:rFonts w:ascii="宋体"/>
                <w:kern w:val="21"/>
                <w:sz w:val="18"/>
                <w:szCs w:val="18"/>
              </w:rPr>
            </w:pPr>
            <w:r>
              <w:rPr>
                <w:rFonts w:hint="eastAsia" w:ascii="宋体"/>
                <w:kern w:val="21"/>
                <w:sz w:val="18"/>
                <w:szCs w:val="18"/>
              </w:rPr>
              <w:t>温度、湿度传感器</w:t>
            </w:r>
          </w:p>
        </w:tc>
        <w:tc>
          <w:tcPr>
            <w:tcW w:w="2514" w:type="dxa"/>
            <w:tcBorders>
              <w:right w:val="single" w:color="auto" w:sz="12" w:space="0"/>
            </w:tcBorders>
            <w:shd w:val="clear" w:color="auto" w:fill="auto"/>
            <w:vAlign w:val="center"/>
          </w:tcPr>
          <w:p>
            <w:pPr>
              <w:spacing w:line="240" w:lineRule="exact"/>
              <w:jc w:val="center"/>
              <w:rPr>
                <w:rFonts w:ascii="宋体"/>
                <w:kern w:val="21"/>
                <w:sz w:val="18"/>
                <w:szCs w:val="18"/>
              </w:rPr>
            </w:pPr>
            <w:r>
              <w:rPr>
                <w:rFonts w:hint="eastAsia" w:ascii="宋体"/>
                <w:kern w:val="21"/>
                <w:sz w:val="18"/>
                <w:szCs w:val="18"/>
              </w:rPr>
              <w:t>温湿度指数传感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93" w:type="dxa"/>
            <w:vMerge w:val="continue"/>
            <w:tcBorders>
              <w:left w:val="single" w:color="auto" w:sz="12" w:space="0"/>
            </w:tcBorders>
            <w:shd w:val="clear" w:color="auto" w:fill="auto"/>
            <w:vAlign w:val="center"/>
          </w:tcPr>
          <w:p>
            <w:pPr>
              <w:pStyle w:val="99"/>
              <w:numPr>
                <w:ilvl w:val="0"/>
                <w:numId w:val="0"/>
              </w:numPr>
              <w:jc w:val="center"/>
              <w:rPr>
                <w:sz w:val="18"/>
                <w:szCs w:val="18"/>
              </w:rPr>
            </w:pPr>
          </w:p>
        </w:tc>
        <w:tc>
          <w:tcPr>
            <w:tcW w:w="2410" w:type="dxa"/>
            <w:vMerge w:val="continue"/>
            <w:shd w:val="clear" w:color="auto" w:fill="auto"/>
            <w:vAlign w:val="center"/>
          </w:tcPr>
          <w:p>
            <w:pPr>
              <w:pStyle w:val="99"/>
              <w:numPr>
                <w:ilvl w:val="0"/>
                <w:numId w:val="0"/>
              </w:numPr>
              <w:jc w:val="center"/>
              <w:rPr>
                <w:sz w:val="18"/>
                <w:szCs w:val="18"/>
              </w:rPr>
            </w:pPr>
          </w:p>
        </w:tc>
        <w:tc>
          <w:tcPr>
            <w:tcW w:w="3155" w:type="dxa"/>
            <w:shd w:val="clear" w:color="auto" w:fill="auto"/>
            <w:vAlign w:val="center"/>
          </w:tcPr>
          <w:p>
            <w:pPr>
              <w:spacing w:line="240" w:lineRule="exact"/>
              <w:jc w:val="center"/>
              <w:rPr>
                <w:rFonts w:ascii="宋体"/>
                <w:kern w:val="21"/>
                <w:sz w:val="18"/>
                <w:szCs w:val="18"/>
              </w:rPr>
            </w:pPr>
            <w:r>
              <w:rPr>
                <w:rFonts w:ascii="宋体"/>
                <w:kern w:val="21"/>
                <w:sz w:val="18"/>
                <w:szCs w:val="18"/>
              </w:rPr>
              <w:t>H</w:t>
            </w:r>
            <w:r>
              <w:rPr>
                <w:rFonts w:hint="eastAsia" w:ascii="宋体"/>
                <w:kern w:val="21"/>
                <w:sz w:val="18"/>
                <w:szCs w:val="18"/>
                <w:vertAlign w:val="subscript"/>
              </w:rPr>
              <w:t>2</w:t>
            </w:r>
            <w:r>
              <w:rPr>
                <w:rFonts w:ascii="宋体"/>
                <w:kern w:val="21"/>
                <w:sz w:val="18"/>
                <w:szCs w:val="18"/>
              </w:rPr>
              <w:t>S</w:t>
            </w:r>
            <w:r>
              <w:rPr>
                <w:rFonts w:hint="eastAsia" w:ascii="宋体"/>
                <w:kern w:val="21"/>
                <w:sz w:val="18"/>
                <w:szCs w:val="18"/>
              </w:rPr>
              <w:t>传感器</w:t>
            </w:r>
          </w:p>
        </w:tc>
        <w:tc>
          <w:tcPr>
            <w:tcW w:w="2514" w:type="dxa"/>
            <w:tcBorders>
              <w:right w:val="single" w:color="auto" w:sz="12" w:space="0"/>
            </w:tcBorders>
            <w:shd w:val="clear" w:color="auto" w:fill="auto"/>
            <w:vAlign w:val="center"/>
          </w:tcPr>
          <w:p>
            <w:pPr>
              <w:spacing w:line="240" w:lineRule="exact"/>
              <w:jc w:val="center"/>
              <w:rPr>
                <w:rFonts w:ascii="宋体"/>
                <w:kern w:val="21"/>
                <w:sz w:val="18"/>
                <w:szCs w:val="18"/>
              </w:rPr>
            </w:pPr>
            <w:r>
              <w:rPr>
                <w:rFonts w:hint="eastAsia" w:ascii="宋体"/>
                <w:kern w:val="21"/>
                <w:sz w:val="18"/>
                <w:szCs w:val="18"/>
              </w:rPr>
              <w:t>硫化氢指数传感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93" w:type="dxa"/>
            <w:vMerge w:val="continue"/>
            <w:tcBorders>
              <w:left w:val="single" w:color="auto" w:sz="12" w:space="0"/>
            </w:tcBorders>
            <w:shd w:val="clear" w:color="auto" w:fill="auto"/>
            <w:vAlign w:val="center"/>
          </w:tcPr>
          <w:p>
            <w:pPr>
              <w:pStyle w:val="99"/>
              <w:numPr>
                <w:ilvl w:val="0"/>
                <w:numId w:val="0"/>
              </w:numPr>
              <w:jc w:val="center"/>
              <w:rPr>
                <w:sz w:val="18"/>
                <w:szCs w:val="18"/>
              </w:rPr>
            </w:pPr>
          </w:p>
        </w:tc>
        <w:tc>
          <w:tcPr>
            <w:tcW w:w="2410" w:type="dxa"/>
            <w:vMerge w:val="continue"/>
            <w:shd w:val="clear" w:color="auto" w:fill="auto"/>
            <w:vAlign w:val="center"/>
          </w:tcPr>
          <w:p>
            <w:pPr>
              <w:pStyle w:val="99"/>
              <w:numPr>
                <w:ilvl w:val="0"/>
                <w:numId w:val="0"/>
              </w:numPr>
              <w:jc w:val="center"/>
              <w:rPr>
                <w:sz w:val="18"/>
                <w:szCs w:val="18"/>
              </w:rPr>
            </w:pPr>
          </w:p>
        </w:tc>
        <w:tc>
          <w:tcPr>
            <w:tcW w:w="3155" w:type="dxa"/>
            <w:shd w:val="clear" w:color="auto" w:fill="auto"/>
            <w:vAlign w:val="center"/>
          </w:tcPr>
          <w:p>
            <w:pPr>
              <w:spacing w:line="240" w:lineRule="exact"/>
              <w:jc w:val="center"/>
              <w:rPr>
                <w:rFonts w:ascii="宋体"/>
                <w:kern w:val="21"/>
                <w:sz w:val="18"/>
                <w:szCs w:val="18"/>
              </w:rPr>
            </w:pPr>
            <w:r>
              <w:rPr>
                <w:rFonts w:ascii="宋体"/>
                <w:kern w:val="21"/>
                <w:sz w:val="18"/>
                <w:szCs w:val="18"/>
              </w:rPr>
              <w:t>NH</w:t>
            </w:r>
            <w:r>
              <w:rPr>
                <w:rFonts w:hint="eastAsia" w:ascii="宋体"/>
                <w:kern w:val="21"/>
                <w:sz w:val="18"/>
                <w:szCs w:val="18"/>
                <w:vertAlign w:val="subscript"/>
              </w:rPr>
              <w:t>3</w:t>
            </w:r>
            <w:r>
              <w:rPr>
                <w:rFonts w:hint="eastAsia" w:ascii="宋体"/>
                <w:kern w:val="21"/>
                <w:sz w:val="18"/>
                <w:szCs w:val="18"/>
              </w:rPr>
              <w:t>传感器</w:t>
            </w:r>
          </w:p>
        </w:tc>
        <w:tc>
          <w:tcPr>
            <w:tcW w:w="2514" w:type="dxa"/>
            <w:tcBorders>
              <w:right w:val="single" w:color="auto" w:sz="12" w:space="0"/>
            </w:tcBorders>
            <w:shd w:val="clear" w:color="auto" w:fill="auto"/>
            <w:vAlign w:val="center"/>
          </w:tcPr>
          <w:p>
            <w:pPr>
              <w:spacing w:line="240" w:lineRule="exact"/>
              <w:jc w:val="center"/>
              <w:rPr>
                <w:rFonts w:ascii="宋体"/>
                <w:kern w:val="21"/>
                <w:sz w:val="18"/>
                <w:szCs w:val="18"/>
              </w:rPr>
            </w:pPr>
            <w:r>
              <w:rPr>
                <w:rFonts w:hint="eastAsia" w:ascii="宋体"/>
                <w:kern w:val="21"/>
                <w:sz w:val="18"/>
                <w:szCs w:val="18"/>
              </w:rPr>
              <w:t>氨气指数传感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93" w:type="dxa"/>
            <w:vMerge w:val="continue"/>
            <w:tcBorders>
              <w:left w:val="single" w:color="auto" w:sz="12" w:space="0"/>
              <w:bottom w:val="single" w:color="auto" w:sz="12" w:space="0"/>
            </w:tcBorders>
            <w:shd w:val="clear" w:color="auto" w:fill="auto"/>
            <w:vAlign w:val="center"/>
          </w:tcPr>
          <w:p>
            <w:pPr>
              <w:pStyle w:val="99"/>
              <w:numPr>
                <w:ilvl w:val="0"/>
                <w:numId w:val="0"/>
              </w:numPr>
              <w:jc w:val="center"/>
              <w:rPr>
                <w:sz w:val="18"/>
                <w:szCs w:val="18"/>
              </w:rPr>
            </w:pPr>
          </w:p>
        </w:tc>
        <w:tc>
          <w:tcPr>
            <w:tcW w:w="2410" w:type="dxa"/>
            <w:vMerge w:val="continue"/>
            <w:tcBorders>
              <w:bottom w:val="single" w:color="auto" w:sz="12" w:space="0"/>
            </w:tcBorders>
            <w:shd w:val="clear" w:color="auto" w:fill="auto"/>
            <w:vAlign w:val="center"/>
          </w:tcPr>
          <w:p>
            <w:pPr>
              <w:pStyle w:val="99"/>
              <w:numPr>
                <w:ilvl w:val="0"/>
                <w:numId w:val="0"/>
              </w:numPr>
              <w:jc w:val="center"/>
              <w:rPr>
                <w:sz w:val="18"/>
                <w:szCs w:val="18"/>
              </w:rPr>
            </w:pPr>
          </w:p>
        </w:tc>
        <w:tc>
          <w:tcPr>
            <w:tcW w:w="3155" w:type="dxa"/>
            <w:tcBorders>
              <w:bottom w:val="single" w:color="auto" w:sz="12" w:space="0"/>
            </w:tcBorders>
            <w:shd w:val="clear" w:color="auto" w:fill="auto"/>
            <w:vAlign w:val="center"/>
          </w:tcPr>
          <w:p>
            <w:pPr>
              <w:spacing w:line="240" w:lineRule="exact"/>
              <w:jc w:val="center"/>
              <w:rPr>
                <w:rFonts w:ascii="宋体"/>
                <w:kern w:val="21"/>
                <w:sz w:val="18"/>
                <w:szCs w:val="18"/>
              </w:rPr>
            </w:pPr>
            <w:r>
              <w:rPr>
                <w:rFonts w:hint="eastAsia" w:ascii="宋体"/>
                <w:kern w:val="21"/>
                <w:sz w:val="18"/>
                <w:szCs w:val="18"/>
              </w:rPr>
              <w:t>TVOC传感器</w:t>
            </w:r>
          </w:p>
        </w:tc>
        <w:tc>
          <w:tcPr>
            <w:tcW w:w="2514" w:type="dxa"/>
            <w:tcBorders>
              <w:bottom w:val="single" w:color="auto" w:sz="12" w:space="0"/>
              <w:right w:val="single" w:color="auto" w:sz="12" w:space="0"/>
            </w:tcBorders>
            <w:shd w:val="clear" w:color="auto" w:fill="auto"/>
            <w:vAlign w:val="center"/>
          </w:tcPr>
          <w:p>
            <w:pPr>
              <w:spacing w:line="240" w:lineRule="exact"/>
              <w:jc w:val="center"/>
              <w:rPr>
                <w:rFonts w:ascii="宋体"/>
                <w:kern w:val="21"/>
                <w:sz w:val="18"/>
                <w:szCs w:val="18"/>
              </w:rPr>
            </w:pPr>
            <w:r>
              <w:rPr>
                <w:rFonts w:hint="eastAsia" w:ascii="宋体"/>
                <w:kern w:val="21"/>
                <w:sz w:val="18"/>
                <w:szCs w:val="18"/>
              </w:rPr>
              <w:t>TVOC指数传感</w:t>
            </w:r>
          </w:p>
        </w:tc>
      </w:tr>
    </w:tbl>
    <w:p>
      <w:pPr>
        <w:pStyle w:val="99"/>
        <w:numPr>
          <w:ilvl w:val="0"/>
          <w:numId w:val="0"/>
        </w:numPr>
      </w:pPr>
    </w:p>
    <w:p>
      <w:pPr>
        <w:pStyle w:val="97"/>
        <w:spacing w:before="156" w:beforeLines="50" w:after="156" w:afterLines="50"/>
      </w:pPr>
      <w:r>
        <w:rPr>
          <w:rFonts w:hint="eastAsia" w:hAnsi="宋体"/>
        </w:rPr>
        <w:t>智能化设备</w:t>
      </w:r>
    </w:p>
    <w:p>
      <w:pPr>
        <w:pStyle w:val="21"/>
        <w:rPr>
          <w:rFonts w:hAnsi="宋体"/>
        </w:rPr>
      </w:pPr>
      <w:r>
        <w:rPr>
          <w:rFonts w:hint="eastAsia" w:hAnsi="宋体"/>
        </w:rPr>
        <w:t>智能化设备</w:t>
      </w:r>
      <w:r>
        <w:rPr>
          <w:rFonts w:hint="eastAsia"/>
        </w:rPr>
        <w:t>的组成模块及功能应符合表A.2的规定</w:t>
      </w:r>
      <w:r>
        <w:rPr>
          <w:rFonts w:hint="eastAsia" w:hAnsi="宋体"/>
        </w:rPr>
        <w:t>。</w:t>
      </w:r>
    </w:p>
    <w:p>
      <w:pPr>
        <w:pStyle w:val="122"/>
        <w:tabs>
          <w:tab w:val="clear" w:pos="360"/>
        </w:tabs>
      </w:pPr>
      <w:r>
        <w:rPr>
          <w:rFonts w:hint="eastAsia"/>
        </w:rPr>
        <w:t xml:space="preserve">表A.2  </w:t>
      </w:r>
      <w:r>
        <w:rPr>
          <w:rFonts w:hint="eastAsia" w:hAnsi="宋体"/>
        </w:rPr>
        <w:t>智能化设备</w:t>
      </w:r>
      <w:r>
        <w:rPr>
          <w:rFonts w:hint="eastAsia"/>
        </w:rPr>
        <w:t>模块及功能</w:t>
      </w:r>
    </w:p>
    <w:tbl>
      <w:tblPr>
        <w:tblStyle w:val="29"/>
        <w:tblW w:w="90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93"/>
        <w:gridCol w:w="2410"/>
        <w:gridCol w:w="3155"/>
        <w:gridCol w:w="25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93" w:type="dxa"/>
            <w:tcBorders>
              <w:top w:val="single" w:color="auto" w:sz="12" w:space="0"/>
              <w:left w:val="single" w:color="auto" w:sz="12" w:space="0"/>
              <w:bottom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序号</w:t>
            </w:r>
          </w:p>
        </w:tc>
        <w:tc>
          <w:tcPr>
            <w:tcW w:w="2410" w:type="dxa"/>
            <w:tcBorders>
              <w:top w:val="single" w:color="auto" w:sz="12" w:space="0"/>
              <w:bottom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模块</w:t>
            </w:r>
          </w:p>
        </w:tc>
        <w:tc>
          <w:tcPr>
            <w:tcW w:w="3155" w:type="dxa"/>
            <w:tcBorders>
              <w:top w:val="single" w:color="auto" w:sz="12" w:space="0"/>
              <w:bottom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设备名称</w:t>
            </w:r>
          </w:p>
        </w:tc>
        <w:tc>
          <w:tcPr>
            <w:tcW w:w="2514" w:type="dxa"/>
            <w:tcBorders>
              <w:top w:val="single" w:color="auto" w:sz="12" w:space="0"/>
              <w:bottom w:val="single" w:color="auto" w:sz="12" w:space="0"/>
              <w:right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93" w:type="dxa"/>
            <w:vMerge w:val="restart"/>
            <w:tcBorders>
              <w:top w:val="single" w:color="auto" w:sz="12" w:space="0"/>
              <w:left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1</w:t>
            </w:r>
          </w:p>
        </w:tc>
        <w:tc>
          <w:tcPr>
            <w:tcW w:w="2410" w:type="dxa"/>
            <w:vMerge w:val="restart"/>
            <w:tcBorders>
              <w:top w:val="single" w:color="auto" w:sz="12" w:space="0"/>
            </w:tcBorders>
            <w:shd w:val="clear" w:color="auto" w:fill="auto"/>
            <w:vAlign w:val="center"/>
          </w:tcPr>
          <w:p>
            <w:pPr>
              <w:pStyle w:val="99"/>
              <w:numPr>
                <w:ilvl w:val="0"/>
                <w:numId w:val="0"/>
              </w:numPr>
              <w:jc w:val="center"/>
              <w:rPr>
                <w:sz w:val="18"/>
                <w:szCs w:val="18"/>
              </w:rPr>
            </w:pPr>
            <w:r>
              <w:rPr>
                <w:rFonts w:hint="eastAsia" w:hAnsi="宋体" w:cs="仿宋"/>
                <w:sz w:val="18"/>
                <w:szCs w:val="18"/>
              </w:rPr>
              <w:t>智能主控单元</w:t>
            </w:r>
          </w:p>
        </w:tc>
        <w:tc>
          <w:tcPr>
            <w:tcW w:w="3155" w:type="dxa"/>
            <w:tcBorders>
              <w:top w:val="single" w:color="auto" w:sz="12" w:space="0"/>
            </w:tcBorders>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智能主控机</w:t>
            </w:r>
          </w:p>
        </w:tc>
        <w:tc>
          <w:tcPr>
            <w:tcW w:w="2514" w:type="dxa"/>
            <w:vMerge w:val="restart"/>
            <w:tcBorders>
              <w:top w:val="single" w:color="auto" w:sz="12" w:space="0"/>
              <w:right w:val="single" w:color="auto" w:sz="12" w:space="0"/>
            </w:tcBorders>
            <w:shd w:val="clear" w:color="auto" w:fill="auto"/>
            <w:vAlign w:val="center"/>
          </w:tcPr>
          <w:p>
            <w:pPr>
              <w:spacing w:line="240" w:lineRule="exact"/>
              <w:jc w:val="center"/>
              <w:rPr>
                <w:rFonts w:ascii="宋体"/>
                <w:kern w:val="21"/>
                <w:sz w:val="18"/>
                <w:szCs w:val="18"/>
              </w:rPr>
            </w:pPr>
            <w:r>
              <w:rPr>
                <w:rFonts w:hint="eastAsia" w:ascii="宋体" w:hAnsi="宋体" w:cs="仿宋"/>
                <w:sz w:val="18"/>
                <w:szCs w:val="18"/>
              </w:rPr>
              <w:t>系统控制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93" w:type="dxa"/>
            <w:vMerge w:val="continue"/>
            <w:tcBorders>
              <w:left w:val="single" w:color="auto" w:sz="12" w:space="0"/>
            </w:tcBorders>
            <w:shd w:val="clear" w:color="auto" w:fill="auto"/>
            <w:vAlign w:val="center"/>
          </w:tcPr>
          <w:p>
            <w:pPr>
              <w:pStyle w:val="99"/>
              <w:numPr>
                <w:ilvl w:val="0"/>
                <w:numId w:val="0"/>
              </w:numPr>
              <w:jc w:val="center"/>
              <w:rPr>
                <w:sz w:val="18"/>
                <w:szCs w:val="18"/>
              </w:rPr>
            </w:pPr>
          </w:p>
        </w:tc>
        <w:tc>
          <w:tcPr>
            <w:tcW w:w="2410" w:type="dxa"/>
            <w:vMerge w:val="continue"/>
            <w:shd w:val="clear" w:color="auto" w:fill="auto"/>
            <w:vAlign w:val="center"/>
          </w:tcPr>
          <w:p>
            <w:pPr>
              <w:pStyle w:val="99"/>
              <w:numPr>
                <w:ilvl w:val="0"/>
                <w:numId w:val="0"/>
              </w:numPr>
              <w:jc w:val="center"/>
              <w:rPr>
                <w:sz w:val="18"/>
                <w:szCs w:val="18"/>
              </w:rPr>
            </w:pPr>
          </w:p>
        </w:tc>
        <w:tc>
          <w:tcPr>
            <w:tcW w:w="3155" w:type="dxa"/>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智能网关</w:t>
            </w:r>
          </w:p>
        </w:tc>
        <w:tc>
          <w:tcPr>
            <w:tcW w:w="2514" w:type="dxa"/>
            <w:vMerge w:val="continue"/>
            <w:tcBorders>
              <w:right w:val="single" w:color="auto" w:sz="12" w:space="0"/>
            </w:tcBorders>
            <w:shd w:val="clear" w:color="auto" w:fill="auto"/>
            <w:vAlign w:val="center"/>
          </w:tcPr>
          <w:p>
            <w:pPr>
              <w:spacing w:line="240" w:lineRule="exact"/>
              <w:jc w:val="center"/>
              <w:rPr>
                <w:rFonts w:ascii="宋体"/>
                <w:kern w:val="21"/>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93" w:type="dxa"/>
            <w:vMerge w:val="continue"/>
            <w:tcBorders>
              <w:left w:val="single" w:color="auto" w:sz="12" w:space="0"/>
            </w:tcBorders>
            <w:shd w:val="clear" w:color="auto" w:fill="auto"/>
            <w:vAlign w:val="center"/>
          </w:tcPr>
          <w:p>
            <w:pPr>
              <w:pStyle w:val="99"/>
              <w:numPr>
                <w:ilvl w:val="0"/>
                <w:numId w:val="0"/>
              </w:numPr>
              <w:jc w:val="center"/>
              <w:rPr>
                <w:sz w:val="18"/>
                <w:szCs w:val="18"/>
              </w:rPr>
            </w:pPr>
          </w:p>
        </w:tc>
        <w:tc>
          <w:tcPr>
            <w:tcW w:w="2410" w:type="dxa"/>
            <w:vMerge w:val="continue"/>
            <w:shd w:val="clear" w:color="auto" w:fill="auto"/>
            <w:vAlign w:val="center"/>
          </w:tcPr>
          <w:p>
            <w:pPr>
              <w:pStyle w:val="99"/>
              <w:numPr>
                <w:ilvl w:val="0"/>
                <w:numId w:val="0"/>
              </w:numPr>
              <w:jc w:val="center"/>
              <w:rPr>
                <w:sz w:val="18"/>
                <w:szCs w:val="18"/>
              </w:rPr>
            </w:pPr>
          </w:p>
        </w:tc>
        <w:tc>
          <w:tcPr>
            <w:tcW w:w="3155" w:type="dxa"/>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多功能交换机</w:t>
            </w:r>
          </w:p>
        </w:tc>
        <w:tc>
          <w:tcPr>
            <w:tcW w:w="2514" w:type="dxa"/>
            <w:tcBorders>
              <w:right w:val="single" w:color="auto" w:sz="12" w:space="0"/>
            </w:tcBorders>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数据传输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93" w:type="dxa"/>
            <w:vMerge w:val="continue"/>
            <w:tcBorders>
              <w:left w:val="single" w:color="auto" w:sz="12" w:space="0"/>
              <w:bottom w:val="single" w:color="auto" w:sz="4" w:space="0"/>
            </w:tcBorders>
            <w:shd w:val="clear" w:color="auto" w:fill="auto"/>
            <w:vAlign w:val="center"/>
          </w:tcPr>
          <w:p>
            <w:pPr>
              <w:pStyle w:val="99"/>
              <w:numPr>
                <w:ilvl w:val="0"/>
                <w:numId w:val="0"/>
              </w:numPr>
              <w:jc w:val="center"/>
              <w:rPr>
                <w:sz w:val="18"/>
                <w:szCs w:val="18"/>
              </w:rPr>
            </w:pPr>
          </w:p>
        </w:tc>
        <w:tc>
          <w:tcPr>
            <w:tcW w:w="2410" w:type="dxa"/>
            <w:vMerge w:val="continue"/>
            <w:tcBorders>
              <w:bottom w:val="single" w:color="auto" w:sz="4" w:space="0"/>
            </w:tcBorders>
            <w:shd w:val="clear" w:color="auto" w:fill="auto"/>
            <w:vAlign w:val="center"/>
          </w:tcPr>
          <w:p>
            <w:pPr>
              <w:pStyle w:val="99"/>
              <w:numPr>
                <w:ilvl w:val="0"/>
                <w:numId w:val="0"/>
              </w:numPr>
              <w:jc w:val="center"/>
              <w:rPr>
                <w:sz w:val="18"/>
                <w:szCs w:val="18"/>
              </w:rPr>
            </w:pPr>
          </w:p>
        </w:tc>
        <w:tc>
          <w:tcPr>
            <w:tcW w:w="3155" w:type="dxa"/>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LED显示屏幕</w:t>
            </w:r>
          </w:p>
        </w:tc>
        <w:tc>
          <w:tcPr>
            <w:tcW w:w="2514" w:type="dxa"/>
            <w:tcBorders>
              <w:right w:val="single" w:color="auto" w:sz="12" w:space="0"/>
            </w:tcBorders>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控制显示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93" w:type="dxa"/>
            <w:tcBorders>
              <w:top w:val="single" w:color="auto" w:sz="4" w:space="0"/>
              <w:left w:val="single" w:color="auto" w:sz="12" w:space="0"/>
              <w:bottom w:val="single" w:color="auto" w:sz="4" w:space="0"/>
            </w:tcBorders>
            <w:shd w:val="clear" w:color="auto" w:fill="auto"/>
            <w:vAlign w:val="center"/>
          </w:tcPr>
          <w:p>
            <w:pPr>
              <w:pStyle w:val="99"/>
              <w:numPr>
                <w:ilvl w:val="0"/>
                <w:numId w:val="0"/>
              </w:numPr>
              <w:jc w:val="center"/>
              <w:rPr>
                <w:sz w:val="18"/>
                <w:szCs w:val="18"/>
              </w:rPr>
            </w:pPr>
            <w:r>
              <w:rPr>
                <w:rFonts w:hint="eastAsia"/>
                <w:sz w:val="18"/>
                <w:szCs w:val="18"/>
              </w:rPr>
              <w:t>2</w:t>
            </w:r>
          </w:p>
        </w:tc>
        <w:tc>
          <w:tcPr>
            <w:tcW w:w="2410" w:type="dxa"/>
            <w:tcBorders>
              <w:top w:val="single" w:color="auto" w:sz="4" w:space="0"/>
              <w:bottom w:val="single" w:color="auto" w:sz="4" w:space="0"/>
            </w:tcBorders>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智能显示单元</w:t>
            </w:r>
          </w:p>
        </w:tc>
        <w:tc>
          <w:tcPr>
            <w:tcW w:w="3155" w:type="dxa"/>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多功能显示终端</w:t>
            </w:r>
          </w:p>
        </w:tc>
        <w:tc>
          <w:tcPr>
            <w:tcW w:w="2514" w:type="dxa"/>
            <w:tcBorders>
              <w:right w:val="single" w:color="auto" w:sz="12" w:space="0"/>
            </w:tcBorders>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智慧显示终端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93" w:type="dxa"/>
            <w:tcBorders>
              <w:top w:val="single" w:color="auto" w:sz="4" w:space="0"/>
              <w:left w:val="single" w:color="auto" w:sz="12" w:space="0"/>
              <w:bottom w:val="single" w:color="auto" w:sz="4" w:space="0"/>
            </w:tcBorders>
            <w:shd w:val="clear" w:color="auto" w:fill="auto"/>
            <w:vAlign w:val="center"/>
          </w:tcPr>
          <w:p>
            <w:pPr>
              <w:pStyle w:val="99"/>
              <w:numPr>
                <w:ilvl w:val="0"/>
                <w:numId w:val="0"/>
              </w:numPr>
              <w:jc w:val="center"/>
              <w:rPr>
                <w:sz w:val="18"/>
                <w:szCs w:val="18"/>
              </w:rPr>
            </w:pPr>
            <w:r>
              <w:rPr>
                <w:rFonts w:hint="eastAsia"/>
                <w:sz w:val="18"/>
                <w:szCs w:val="18"/>
              </w:rPr>
              <w:t>3</w:t>
            </w:r>
          </w:p>
        </w:tc>
        <w:tc>
          <w:tcPr>
            <w:tcW w:w="2410" w:type="dxa"/>
            <w:tcBorders>
              <w:top w:val="single" w:color="auto" w:sz="4" w:space="0"/>
              <w:bottom w:val="single" w:color="auto" w:sz="4" w:space="0"/>
            </w:tcBorders>
            <w:shd w:val="clear" w:color="auto" w:fill="auto"/>
            <w:vAlign w:val="center"/>
          </w:tcPr>
          <w:p>
            <w:pPr>
              <w:pStyle w:val="99"/>
              <w:numPr>
                <w:ilvl w:val="0"/>
                <w:numId w:val="0"/>
              </w:numPr>
              <w:jc w:val="center"/>
              <w:rPr>
                <w:sz w:val="18"/>
                <w:szCs w:val="18"/>
              </w:rPr>
            </w:pPr>
            <w:r>
              <w:rPr>
                <w:rFonts w:hint="eastAsia" w:hAnsi="宋体" w:cs="仿宋"/>
                <w:sz w:val="18"/>
                <w:szCs w:val="18"/>
              </w:rPr>
              <w:t>智能传输单元</w:t>
            </w:r>
          </w:p>
        </w:tc>
        <w:tc>
          <w:tcPr>
            <w:tcW w:w="3155" w:type="dxa"/>
            <w:tcBorders>
              <w:bottom w:val="single" w:color="auto" w:sz="4" w:space="0"/>
            </w:tcBorders>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客流量统计设备</w:t>
            </w:r>
          </w:p>
        </w:tc>
        <w:tc>
          <w:tcPr>
            <w:tcW w:w="2514" w:type="dxa"/>
            <w:tcBorders>
              <w:bottom w:val="single" w:color="auto" w:sz="4" w:space="0"/>
              <w:right w:val="single" w:color="auto" w:sz="12" w:space="0"/>
            </w:tcBorders>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客流量传感</w:t>
            </w:r>
          </w:p>
        </w:tc>
      </w:tr>
    </w:tbl>
    <w:p>
      <w:pPr>
        <w:pStyle w:val="122"/>
        <w:tabs>
          <w:tab w:val="clear" w:pos="360"/>
        </w:tabs>
      </w:pPr>
      <w:r>
        <w:rPr>
          <w:rFonts w:hint="eastAsia"/>
        </w:rPr>
        <w:t xml:space="preserve">表A.2  </w:t>
      </w:r>
      <w:r>
        <w:rPr>
          <w:rFonts w:hint="eastAsia" w:hAnsi="宋体"/>
        </w:rPr>
        <w:t>智能化设备</w:t>
      </w:r>
      <w:r>
        <w:rPr>
          <w:rFonts w:hint="eastAsia"/>
        </w:rPr>
        <w:t>模块及功能</w:t>
      </w:r>
      <w:r>
        <w:rPr>
          <w:rFonts w:hint="eastAsia" w:ascii="宋体" w:hAnsi="宋体" w:eastAsia="宋体"/>
        </w:rPr>
        <w:t>（续）</w:t>
      </w:r>
    </w:p>
    <w:tbl>
      <w:tblPr>
        <w:tblStyle w:val="29"/>
        <w:tblW w:w="90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93"/>
        <w:gridCol w:w="2410"/>
        <w:gridCol w:w="3155"/>
        <w:gridCol w:w="25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93" w:type="dxa"/>
            <w:tcBorders>
              <w:top w:val="single" w:color="auto" w:sz="12" w:space="0"/>
              <w:left w:val="single" w:color="auto" w:sz="12" w:space="0"/>
              <w:bottom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序号</w:t>
            </w:r>
          </w:p>
        </w:tc>
        <w:tc>
          <w:tcPr>
            <w:tcW w:w="2410" w:type="dxa"/>
            <w:tcBorders>
              <w:top w:val="single" w:color="auto" w:sz="12" w:space="0"/>
              <w:bottom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模块</w:t>
            </w:r>
          </w:p>
        </w:tc>
        <w:tc>
          <w:tcPr>
            <w:tcW w:w="3155" w:type="dxa"/>
            <w:tcBorders>
              <w:top w:val="single" w:color="auto" w:sz="12" w:space="0"/>
              <w:bottom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设备名称</w:t>
            </w:r>
          </w:p>
        </w:tc>
        <w:tc>
          <w:tcPr>
            <w:tcW w:w="2514" w:type="dxa"/>
            <w:tcBorders>
              <w:top w:val="single" w:color="auto" w:sz="12" w:space="0"/>
              <w:bottom w:val="single" w:color="auto" w:sz="12" w:space="0"/>
              <w:right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93" w:type="dxa"/>
            <w:vMerge w:val="restart"/>
            <w:tcBorders>
              <w:top w:val="single" w:color="auto" w:sz="12" w:space="0"/>
              <w:left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3</w:t>
            </w:r>
          </w:p>
        </w:tc>
        <w:tc>
          <w:tcPr>
            <w:tcW w:w="2410" w:type="dxa"/>
            <w:vMerge w:val="restart"/>
            <w:tcBorders>
              <w:top w:val="single" w:color="auto" w:sz="12" w:space="0"/>
            </w:tcBorders>
            <w:shd w:val="clear" w:color="auto" w:fill="auto"/>
            <w:vAlign w:val="center"/>
          </w:tcPr>
          <w:p>
            <w:pPr>
              <w:pStyle w:val="99"/>
              <w:numPr>
                <w:ilvl w:val="0"/>
                <w:numId w:val="0"/>
              </w:numPr>
              <w:jc w:val="center"/>
              <w:rPr>
                <w:sz w:val="18"/>
                <w:szCs w:val="18"/>
              </w:rPr>
            </w:pPr>
            <w:r>
              <w:rPr>
                <w:rFonts w:hint="eastAsia" w:hAnsi="宋体" w:cs="仿宋"/>
                <w:sz w:val="18"/>
                <w:szCs w:val="18"/>
              </w:rPr>
              <w:t>智能传输单元</w:t>
            </w:r>
          </w:p>
        </w:tc>
        <w:tc>
          <w:tcPr>
            <w:tcW w:w="3155" w:type="dxa"/>
            <w:tcBorders>
              <w:top w:val="single" w:color="auto" w:sz="12" w:space="0"/>
            </w:tcBorders>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智能水表</w:t>
            </w:r>
          </w:p>
        </w:tc>
        <w:tc>
          <w:tcPr>
            <w:tcW w:w="2514" w:type="dxa"/>
            <w:tcBorders>
              <w:top w:val="single" w:color="auto" w:sz="12" w:space="0"/>
              <w:right w:val="single" w:color="auto" w:sz="12" w:space="0"/>
            </w:tcBorders>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用水量传感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93" w:type="dxa"/>
            <w:vMerge w:val="continue"/>
            <w:tcBorders>
              <w:left w:val="single" w:color="auto" w:sz="12" w:space="0"/>
            </w:tcBorders>
            <w:shd w:val="clear" w:color="auto" w:fill="auto"/>
            <w:vAlign w:val="center"/>
          </w:tcPr>
          <w:p>
            <w:pPr>
              <w:pStyle w:val="99"/>
              <w:numPr>
                <w:ilvl w:val="0"/>
                <w:numId w:val="0"/>
              </w:numPr>
              <w:jc w:val="center"/>
              <w:rPr>
                <w:sz w:val="18"/>
                <w:szCs w:val="18"/>
              </w:rPr>
            </w:pPr>
          </w:p>
        </w:tc>
        <w:tc>
          <w:tcPr>
            <w:tcW w:w="2410" w:type="dxa"/>
            <w:vMerge w:val="continue"/>
            <w:shd w:val="clear" w:color="auto" w:fill="auto"/>
            <w:vAlign w:val="center"/>
          </w:tcPr>
          <w:p>
            <w:pPr>
              <w:pStyle w:val="99"/>
              <w:numPr>
                <w:ilvl w:val="0"/>
                <w:numId w:val="0"/>
              </w:numPr>
              <w:jc w:val="center"/>
              <w:rPr>
                <w:sz w:val="18"/>
                <w:szCs w:val="18"/>
              </w:rPr>
            </w:pPr>
          </w:p>
        </w:tc>
        <w:tc>
          <w:tcPr>
            <w:tcW w:w="3155" w:type="dxa"/>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智能电表</w:t>
            </w:r>
          </w:p>
        </w:tc>
        <w:tc>
          <w:tcPr>
            <w:tcW w:w="2514" w:type="dxa"/>
            <w:tcBorders>
              <w:right w:val="single" w:color="auto" w:sz="12" w:space="0"/>
            </w:tcBorders>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用电量传感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93" w:type="dxa"/>
            <w:vMerge w:val="restart"/>
            <w:tcBorders>
              <w:left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4</w:t>
            </w:r>
          </w:p>
        </w:tc>
        <w:tc>
          <w:tcPr>
            <w:tcW w:w="2410" w:type="dxa"/>
            <w:vMerge w:val="restart"/>
            <w:shd w:val="clear" w:color="auto" w:fill="auto"/>
            <w:vAlign w:val="center"/>
          </w:tcPr>
          <w:p>
            <w:pPr>
              <w:pStyle w:val="99"/>
              <w:numPr>
                <w:ilvl w:val="0"/>
                <w:numId w:val="0"/>
              </w:numPr>
              <w:jc w:val="center"/>
              <w:rPr>
                <w:sz w:val="18"/>
                <w:szCs w:val="18"/>
              </w:rPr>
            </w:pPr>
            <w:r>
              <w:rPr>
                <w:rFonts w:hint="eastAsia" w:hAnsi="宋体" w:cs="仿宋"/>
                <w:sz w:val="18"/>
                <w:szCs w:val="18"/>
              </w:rPr>
              <w:t>安全防护单元</w:t>
            </w:r>
          </w:p>
        </w:tc>
        <w:tc>
          <w:tcPr>
            <w:tcW w:w="3155" w:type="dxa"/>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视频监控设备</w:t>
            </w:r>
          </w:p>
        </w:tc>
        <w:tc>
          <w:tcPr>
            <w:tcW w:w="2514" w:type="dxa"/>
            <w:tcBorders>
              <w:right w:val="single" w:color="auto" w:sz="12" w:space="0"/>
            </w:tcBorders>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监控视频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93" w:type="dxa"/>
            <w:vMerge w:val="continue"/>
            <w:tcBorders>
              <w:left w:val="single" w:color="auto" w:sz="12" w:space="0"/>
            </w:tcBorders>
            <w:shd w:val="clear" w:color="auto" w:fill="auto"/>
            <w:vAlign w:val="center"/>
          </w:tcPr>
          <w:p>
            <w:pPr>
              <w:pStyle w:val="99"/>
              <w:numPr>
                <w:ilvl w:val="0"/>
                <w:numId w:val="0"/>
              </w:numPr>
              <w:jc w:val="center"/>
              <w:rPr>
                <w:sz w:val="18"/>
                <w:szCs w:val="18"/>
              </w:rPr>
            </w:pPr>
          </w:p>
        </w:tc>
        <w:tc>
          <w:tcPr>
            <w:tcW w:w="2410" w:type="dxa"/>
            <w:vMerge w:val="continue"/>
            <w:shd w:val="clear" w:color="auto" w:fill="auto"/>
            <w:vAlign w:val="center"/>
          </w:tcPr>
          <w:p>
            <w:pPr>
              <w:pStyle w:val="99"/>
              <w:numPr>
                <w:ilvl w:val="0"/>
                <w:numId w:val="0"/>
              </w:numPr>
              <w:jc w:val="center"/>
              <w:rPr>
                <w:sz w:val="18"/>
                <w:szCs w:val="18"/>
              </w:rPr>
            </w:pPr>
          </w:p>
        </w:tc>
        <w:tc>
          <w:tcPr>
            <w:tcW w:w="3155" w:type="dxa"/>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紧急呼叫器</w:t>
            </w:r>
          </w:p>
        </w:tc>
        <w:tc>
          <w:tcPr>
            <w:tcW w:w="2514" w:type="dxa"/>
            <w:vMerge w:val="restart"/>
            <w:tcBorders>
              <w:right w:val="single" w:color="auto" w:sz="12" w:space="0"/>
            </w:tcBorders>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紧急求救装置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93" w:type="dxa"/>
            <w:vMerge w:val="continue"/>
            <w:tcBorders>
              <w:left w:val="single" w:color="auto" w:sz="12" w:space="0"/>
              <w:bottom w:val="single" w:color="auto" w:sz="4" w:space="0"/>
            </w:tcBorders>
            <w:shd w:val="clear" w:color="auto" w:fill="auto"/>
            <w:vAlign w:val="center"/>
          </w:tcPr>
          <w:p>
            <w:pPr>
              <w:pStyle w:val="99"/>
              <w:numPr>
                <w:ilvl w:val="0"/>
                <w:numId w:val="0"/>
              </w:numPr>
              <w:jc w:val="center"/>
              <w:rPr>
                <w:sz w:val="18"/>
                <w:szCs w:val="18"/>
              </w:rPr>
            </w:pPr>
          </w:p>
        </w:tc>
        <w:tc>
          <w:tcPr>
            <w:tcW w:w="2410" w:type="dxa"/>
            <w:vMerge w:val="continue"/>
            <w:tcBorders>
              <w:bottom w:val="single" w:color="auto" w:sz="4" w:space="0"/>
            </w:tcBorders>
            <w:shd w:val="clear" w:color="auto" w:fill="auto"/>
            <w:vAlign w:val="center"/>
          </w:tcPr>
          <w:p>
            <w:pPr>
              <w:pStyle w:val="99"/>
              <w:numPr>
                <w:ilvl w:val="0"/>
                <w:numId w:val="0"/>
              </w:numPr>
              <w:jc w:val="center"/>
              <w:rPr>
                <w:sz w:val="18"/>
                <w:szCs w:val="18"/>
              </w:rPr>
            </w:pPr>
          </w:p>
        </w:tc>
        <w:tc>
          <w:tcPr>
            <w:tcW w:w="3155" w:type="dxa"/>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无线声光报警器</w:t>
            </w:r>
          </w:p>
        </w:tc>
        <w:tc>
          <w:tcPr>
            <w:tcW w:w="2514" w:type="dxa"/>
            <w:vMerge w:val="continue"/>
            <w:tcBorders>
              <w:right w:val="single" w:color="auto" w:sz="12" w:space="0"/>
            </w:tcBorders>
            <w:shd w:val="clear" w:color="auto" w:fill="auto"/>
            <w:vAlign w:val="center"/>
          </w:tcPr>
          <w:p>
            <w:pPr>
              <w:spacing w:line="240" w:lineRule="exact"/>
              <w:jc w:val="center"/>
              <w:rPr>
                <w:rFonts w:ascii="宋体"/>
                <w:kern w:val="21"/>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93" w:type="dxa"/>
            <w:vMerge w:val="restart"/>
            <w:tcBorders>
              <w:top w:val="single" w:color="auto" w:sz="4" w:space="0"/>
              <w:left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5</w:t>
            </w:r>
          </w:p>
        </w:tc>
        <w:tc>
          <w:tcPr>
            <w:tcW w:w="2410" w:type="dxa"/>
            <w:vMerge w:val="restart"/>
            <w:tcBorders>
              <w:top w:val="single" w:color="auto" w:sz="4" w:space="0"/>
            </w:tcBorders>
            <w:shd w:val="clear" w:color="auto" w:fill="auto"/>
            <w:vAlign w:val="center"/>
          </w:tcPr>
          <w:p>
            <w:pPr>
              <w:pStyle w:val="99"/>
              <w:numPr>
                <w:ilvl w:val="0"/>
                <w:numId w:val="0"/>
              </w:numPr>
              <w:jc w:val="center"/>
              <w:rPr>
                <w:sz w:val="18"/>
                <w:szCs w:val="18"/>
              </w:rPr>
            </w:pPr>
            <w:r>
              <w:rPr>
                <w:rFonts w:hint="eastAsia" w:hAnsi="宋体" w:cs="仿宋"/>
                <w:sz w:val="18"/>
                <w:szCs w:val="18"/>
              </w:rPr>
              <w:t>照明控制单元</w:t>
            </w:r>
          </w:p>
        </w:tc>
        <w:tc>
          <w:tcPr>
            <w:tcW w:w="3155" w:type="dxa"/>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总线电源</w:t>
            </w:r>
          </w:p>
        </w:tc>
        <w:tc>
          <w:tcPr>
            <w:tcW w:w="2514" w:type="dxa"/>
            <w:vMerge w:val="restart"/>
            <w:tcBorders>
              <w:right w:val="single" w:color="auto" w:sz="12" w:space="0"/>
            </w:tcBorders>
            <w:shd w:val="clear" w:color="auto" w:fill="auto"/>
            <w:vAlign w:val="center"/>
          </w:tcPr>
          <w:p>
            <w:pPr>
              <w:spacing w:line="240" w:lineRule="exact"/>
              <w:jc w:val="center"/>
              <w:rPr>
                <w:rFonts w:ascii="宋体"/>
                <w:kern w:val="21"/>
                <w:sz w:val="18"/>
                <w:szCs w:val="18"/>
              </w:rPr>
            </w:pPr>
            <w:r>
              <w:rPr>
                <w:rFonts w:hint="eastAsia" w:ascii="宋体" w:hAnsi="宋体" w:cs="仿宋"/>
                <w:sz w:val="18"/>
                <w:szCs w:val="18"/>
              </w:rPr>
              <w:t>智控装置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93" w:type="dxa"/>
            <w:vMerge w:val="continue"/>
            <w:tcBorders>
              <w:left w:val="single" w:color="auto" w:sz="12" w:space="0"/>
            </w:tcBorders>
            <w:shd w:val="clear" w:color="auto" w:fill="auto"/>
            <w:vAlign w:val="center"/>
          </w:tcPr>
          <w:p>
            <w:pPr>
              <w:pStyle w:val="99"/>
              <w:numPr>
                <w:ilvl w:val="0"/>
                <w:numId w:val="0"/>
              </w:numPr>
              <w:jc w:val="center"/>
              <w:rPr>
                <w:sz w:val="18"/>
                <w:szCs w:val="18"/>
              </w:rPr>
            </w:pPr>
          </w:p>
        </w:tc>
        <w:tc>
          <w:tcPr>
            <w:tcW w:w="2410" w:type="dxa"/>
            <w:vMerge w:val="continue"/>
            <w:shd w:val="clear" w:color="auto" w:fill="auto"/>
            <w:vAlign w:val="center"/>
          </w:tcPr>
          <w:p>
            <w:pPr>
              <w:pStyle w:val="99"/>
              <w:numPr>
                <w:ilvl w:val="0"/>
                <w:numId w:val="0"/>
              </w:numPr>
              <w:jc w:val="center"/>
              <w:rPr>
                <w:sz w:val="18"/>
                <w:szCs w:val="18"/>
              </w:rPr>
            </w:pPr>
          </w:p>
        </w:tc>
        <w:tc>
          <w:tcPr>
            <w:tcW w:w="3155" w:type="dxa"/>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多功能网关</w:t>
            </w:r>
          </w:p>
        </w:tc>
        <w:tc>
          <w:tcPr>
            <w:tcW w:w="2514" w:type="dxa"/>
            <w:vMerge w:val="continue"/>
            <w:tcBorders>
              <w:right w:val="single" w:color="auto" w:sz="12" w:space="0"/>
            </w:tcBorders>
            <w:shd w:val="clear" w:color="auto" w:fill="auto"/>
            <w:vAlign w:val="center"/>
          </w:tcPr>
          <w:p>
            <w:pPr>
              <w:spacing w:line="240" w:lineRule="exact"/>
              <w:jc w:val="center"/>
              <w:rPr>
                <w:rFonts w:ascii="宋体"/>
                <w:kern w:val="21"/>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93" w:type="dxa"/>
            <w:vMerge w:val="continue"/>
            <w:tcBorders>
              <w:left w:val="single" w:color="auto" w:sz="12" w:space="0"/>
              <w:bottom w:val="single" w:color="auto" w:sz="4" w:space="0"/>
            </w:tcBorders>
            <w:shd w:val="clear" w:color="auto" w:fill="auto"/>
            <w:vAlign w:val="center"/>
          </w:tcPr>
          <w:p>
            <w:pPr>
              <w:pStyle w:val="99"/>
              <w:numPr>
                <w:ilvl w:val="0"/>
                <w:numId w:val="0"/>
              </w:numPr>
              <w:jc w:val="center"/>
              <w:rPr>
                <w:sz w:val="18"/>
                <w:szCs w:val="18"/>
              </w:rPr>
            </w:pPr>
          </w:p>
        </w:tc>
        <w:tc>
          <w:tcPr>
            <w:tcW w:w="2410" w:type="dxa"/>
            <w:vMerge w:val="continue"/>
            <w:tcBorders>
              <w:bottom w:val="single" w:color="auto" w:sz="4" w:space="0"/>
            </w:tcBorders>
            <w:shd w:val="clear" w:color="auto" w:fill="auto"/>
            <w:vAlign w:val="center"/>
          </w:tcPr>
          <w:p>
            <w:pPr>
              <w:pStyle w:val="99"/>
              <w:numPr>
                <w:ilvl w:val="0"/>
                <w:numId w:val="0"/>
              </w:numPr>
              <w:jc w:val="center"/>
              <w:rPr>
                <w:sz w:val="18"/>
                <w:szCs w:val="18"/>
              </w:rPr>
            </w:pPr>
          </w:p>
        </w:tc>
        <w:tc>
          <w:tcPr>
            <w:tcW w:w="3155" w:type="dxa"/>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四路开关执行器</w:t>
            </w:r>
          </w:p>
        </w:tc>
        <w:tc>
          <w:tcPr>
            <w:tcW w:w="2514" w:type="dxa"/>
            <w:vMerge w:val="continue"/>
            <w:tcBorders>
              <w:right w:val="single" w:color="auto" w:sz="12" w:space="0"/>
            </w:tcBorders>
            <w:shd w:val="clear" w:color="auto" w:fill="auto"/>
            <w:vAlign w:val="center"/>
          </w:tcPr>
          <w:p>
            <w:pPr>
              <w:spacing w:line="240" w:lineRule="exact"/>
              <w:jc w:val="center"/>
              <w:rPr>
                <w:rFonts w:ascii="宋体"/>
                <w:kern w:val="21"/>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93" w:type="dxa"/>
            <w:vMerge w:val="restart"/>
            <w:tcBorders>
              <w:top w:val="single" w:color="auto" w:sz="4" w:space="0"/>
              <w:left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6</w:t>
            </w:r>
          </w:p>
        </w:tc>
        <w:tc>
          <w:tcPr>
            <w:tcW w:w="2410" w:type="dxa"/>
            <w:vMerge w:val="restart"/>
            <w:tcBorders>
              <w:top w:val="single" w:color="auto" w:sz="4" w:space="0"/>
            </w:tcBorders>
            <w:shd w:val="clear" w:color="auto" w:fill="auto"/>
            <w:vAlign w:val="center"/>
          </w:tcPr>
          <w:p>
            <w:pPr>
              <w:pStyle w:val="99"/>
              <w:numPr>
                <w:ilvl w:val="0"/>
                <w:numId w:val="0"/>
              </w:numPr>
              <w:jc w:val="center"/>
              <w:rPr>
                <w:sz w:val="18"/>
                <w:szCs w:val="18"/>
              </w:rPr>
            </w:pPr>
            <w:r>
              <w:rPr>
                <w:rFonts w:hint="eastAsia" w:hAnsi="宋体" w:cs="仿宋"/>
                <w:sz w:val="18"/>
                <w:szCs w:val="18"/>
              </w:rPr>
              <w:t>人文单元</w:t>
            </w:r>
          </w:p>
        </w:tc>
        <w:tc>
          <w:tcPr>
            <w:tcW w:w="3155" w:type="dxa"/>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智能新风香氛一体机</w:t>
            </w:r>
          </w:p>
        </w:tc>
        <w:tc>
          <w:tcPr>
            <w:tcW w:w="2514" w:type="dxa"/>
            <w:tcBorders>
              <w:right w:val="single" w:color="auto" w:sz="12" w:space="0"/>
            </w:tcBorders>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空气香氛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93" w:type="dxa"/>
            <w:vMerge w:val="continue"/>
            <w:tcBorders>
              <w:left w:val="single" w:color="auto" w:sz="12" w:space="0"/>
              <w:bottom w:val="single" w:color="auto" w:sz="12" w:space="0"/>
            </w:tcBorders>
            <w:shd w:val="clear" w:color="auto" w:fill="auto"/>
            <w:vAlign w:val="center"/>
          </w:tcPr>
          <w:p>
            <w:pPr>
              <w:pStyle w:val="99"/>
              <w:numPr>
                <w:ilvl w:val="0"/>
                <w:numId w:val="0"/>
              </w:numPr>
              <w:jc w:val="center"/>
              <w:rPr>
                <w:sz w:val="18"/>
                <w:szCs w:val="18"/>
              </w:rPr>
            </w:pPr>
          </w:p>
        </w:tc>
        <w:tc>
          <w:tcPr>
            <w:tcW w:w="2410" w:type="dxa"/>
            <w:vMerge w:val="continue"/>
            <w:tcBorders>
              <w:bottom w:val="single" w:color="auto" w:sz="12" w:space="0"/>
            </w:tcBorders>
            <w:shd w:val="clear" w:color="auto" w:fill="auto"/>
            <w:vAlign w:val="center"/>
          </w:tcPr>
          <w:p>
            <w:pPr>
              <w:pStyle w:val="99"/>
              <w:numPr>
                <w:ilvl w:val="0"/>
                <w:numId w:val="0"/>
              </w:numPr>
              <w:jc w:val="center"/>
              <w:rPr>
                <w:sz w:val="18"/>
                <w:szCs w:val="18"/>
              </w:rPr>
            </w:pPr>
          </w:p>
        </w:tc>
        <w:tc>
          <w:tcPr>
            <w:tcW w:w="3155" w:type="dxa"/>
            <w:tcBorders>
              <w:bottom w:val="single" w:color="auto" w:sz="12" w:space="0"/>
            </w:tcBorders>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高保真智能音箱</w:t>
            </w:r>
          </w:p>
        </w:tc>
        <w:tc>
          <w:tcPr>
            <w:tcW w:w="2514" w:type="dxa"/>
            <w:tcBorders>
              <w:bottom w:val="single" w:color="auto" w:sz="12" w:space="0"/>
              <w:right w:val="single" w:color="auto" w:sz="12" w:space="0"/>
            </w:tcBorders>
            <w:shd w:val="clear" w:color="auto" w:fill="auto"/>
            <w:vAlign w:val="center"/>
          </w:tcPr>
          <w:p>
            <w:pPr>
              <w:spacing w:line="240" w:lineRule="exact"/>
              <w:jc w:val="center"/>
              <w:rPr>
                <w:rFonts w:ascii="宋体" w:hAnsi="宋体" w:cs="仿宋"/>
                <w:sz w:val="18"/>
                <w:szCs w:val="18"/>
              </w:rPr>
            </w:pPr>
            <w:r>
              <w:rPr>
                <w:rFonts w:hint="eastAsia" w:ascii="宋体" w:hAnsi="宋体" w:cs="仿宋"/>
                <w:sz w:val="18"/>
                <w:szCs w:val="18"/>
              </w:rPr>
              <w:t>如厕音乐</w:t>
            </w:r>
          </w:p>
        </w:tc>
      </w:tr>
    </w:tbl>
    <w:p>
      <w:pPr>
        <w:pStyle w:val="21"/>
        <w:ind w:firstLine="0" w:firstLineChars="0"/>
        <w:jc w:val="center"/>
      </w:pPr>
    </w:p>
    <w:p>
      <w:pPr>
        <w:pStyle w:val="97"/>
        <w:spacing w:before="156" w:beforeLines="50" w:after="156" w:afterLines="50"/>
      </w:pPr>
      <w:r>
        <w:rPr>
          <w:rFonts w:hint="eastAsia"/>
        </w:rPr>
        <w:t>智慧管理平台</w:t>
      </w:r>
    </w:p>
    <w:p>
      <w:pPr>
        <w:pStyle w:val="21"/>
      </w:pPr>
      <w:r>
        <w:rPr>
          <w:rFonts w:hint="eastAsia" w:hAnsi="宋体"/>
        </w:rPr>
        <w:t>智慧管理平台</w:t>
      </w:r>
      <w:r>
        <w:rPr>
          <w:rFonts w:hint="eastAsia"/>
        </w:rPr>
        <w:t>的组成模块及功能应符合表A.3的规定。</w:t>
      </w:r>
    </w:p>
    <w:p>
      <w:pPr>
        <w:pStyle w:val="122"/>
        <w:tabs>
          <w:tab w:val="clear" w:pos="360"/>
        </w:tabs>
      </w:pPr>
      <w:r>
        <w:rPr>
          <w:rFonts w:hint="eastAsia"/>
        </w:rPr>
        <w:t xml:space="preserve">表A.3  </w:t>
      </w:r>
      <w:r>
        <w:rPr>
          <w:rFonts w:hint="eastAsia" w:hAnsi="宋体"/>
        </w:rPr>
        <w:t>智慧管理平台</w:t>
      </w:r>
      <w:r>
        <w:rPr>
          <w:rFonts w:hint="eastAsia"/>
        </w:rPr>
        <w:t>模块及功能</w:t>
      </w:r>
    </w:p>
    <w:tbl>
      <w:tblPr>
        <w:tblStyle w:val="29"/>
        <w:tblW w:w="93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0"/>
        <w:gridCol w:w="1452"/>
        <w:gridCol w:w="2234"/>
        <w:gridCol w:w="49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10" w:type="dxa"/>
            <w:tcBorders>
              <w:top w:val="single" w:color="auto" w:sz="12" w:space="0"/>
              <w:left w:val="single" w:color="auto" w:sz="12" w:space="0"/>
              <w:bottom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序号</w:t>
            </w:r>
          </w:p>
        </w:tc>
        <w:tc>
          <w:tcPr>
            <w:tcW w:w="1452" w:type="dxa"/>
            <w:tcBorders>
              <w:top w:val="single" w:color="auto" w:sz="12" w:space="0"/>
              <w:bottom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模块</w:t>
            </w:r>
          </w:p>
        </w:tc>
        <w:tc>
          <w:tcPr>
            <w:tcW w:w="2234" w:type="dxa"/>
            <w:tcBorders>
              <w:top w:val="single" w:color="auto" w:sz="12" w:space="0"/>
              <w:bottom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功能名称</w:t>
            </w:r>
          </w:p>
        </w:tc>
        <w:tc>
          <w:tcPr>
            <w:tcW w:w="4960" w:type="dxa"/>
            <w:tcBorders>
              <w:top w:val="single" w:color="auto" w:sz="12" w:space="0"/>
              <w:bottom w:val="single" w:color="auto" w:sz="12" w:space="0"/>
              <w:right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功能说明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10" w:type="dxa"/>
            <w:vMerge w:val="restart"/>
            <w:tcBorders>
              <w:top w:val="single" w:color="auto" w:sz="12" w:space="0"/>
              <w:left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1</w:t>
            </w:r>
          </w:p>
        </w:tc>
        <w:tc>
          <w:tcPr>
            <w:tcW w:w="1452" w:type="dxa"/>
            <w:vMerge w:val="restart"/>
            <w:tcBorders>
              <w:top w:val="single" w:color="auto" w:sz="12"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驿站在线管理平台</w:t>
            </w:r>
          </w:p>
        </w:tc>
        <w:tc>
          <w:tcPr>
            <w:tcW w:w="2234" w:type="dxa"/>
            <w:tcBorders>
              <w:top w:val="single" w:color="auto" w:sz="12" w:space="0"/>
            </w:tcBorders>
            <w:shd w:val="clear" w:color="auto" w:fill="auto"/>
            <w:vAlign w:val="center"/>
          </w:tcPr>
          <w:p>
            <w:pPr>
              <w:spacing w:line="240" w:lineRule="exact"/>
              <w:jc w:val="center"/>
              <w:rPr>
                <w:rFonts w:ascii="宋体" w:hAnsi="宋体" w:cs="仿宋"/>
                <w:sz w:val="18"/>
                <w:szCs w:val="18"/>
              </w:rPr>
            </w:pPr>
            <w:r>
              <w:rPr>
                <w:rFonts w:hint="eastAsia" w:ascii="宋体" w:hAnsi="宋体" w:cs="宋体"/>
                <w:sz w:val="18"/>
                <w:szCs w:val="18"/>
              </w:rPr>
              <w:t>大屏幕显示</w:t>
            </w:r>
          </w:p>
        </w:tc>
        <w:tc>
          <w:tcPr>
            <w:tcW w:w="4960" w:type="dxa"/>
            <w:tcBorders>
              <w:top w:val="single" w:color="auto" w:sz="12" w:space="0"/>
              <w:right w:val="single" w:color="auto" w:sz="12" w:space="0"/>
            </w:tcBorders>
            <w:shd w:val="clear" w:color="auto" w:fill="auto"/>
            <w:vAlign w:val="center"/>
          </w:tcPr>
          <w:p>
            <w:pPr>
              <w:rPr>
                <w:rFonts w:ascii="宋体" w:hAnsi="宋体" w:cs="仿宋"/>
                <w:sz w:val="18"/>
                <w:szCs w:val="18"/>
              </w:rPr>
            </w:pPr>
            <w:r>
              <w:rPr>
                <w:rFonts w:hint="eastAsia" w:ascii="宋体" w:hAnsi="宋体" w:cs="宋体"/>
                <w:sz w:val="18"/>
                <w:szCs w:val="18"/>
              </w:rPr>
              <w:t>展示现场设备传回的基本数据：区域分布占比、WiFi、水电数据消耗、人流量统计、驿站评价、空气数据信息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10" w:type="dxa"/>
            <w:vMerge w:val="continue"/>
            <w:tcBorders>
              <w:left w:val="single" w:color="auto" w:sz="12" w:space="0"/>
            </w:tcBorders>
            <w:shd w:val="clear" w:color="auto" w:fill="auto"/>
            <w:vAlign w:val="center"/>
          </w:tcPr>
          <w:p>
            <w:pPr>
              <w:pStyle w:val="99"/>
              <w:numPr>
                <w:ilvl w:val="0"/>
                <w:numId w:val="0"/>
              </w:numPr>
              <w:jc w:val="center"/>
              <w:rPr>
                <w:sz w:val="18"/>
                <w:szCs w:val="18"/>
              </w:rPr>
            </w:pPr>
          </w:p>
        </w:tc>
        <w:tc>
          <w:tcPr>
            <w:tcW w:w="1452" w:type="dxa"/>
            <w:vMerge w:val="continue"/>
            <w:shd w:val="clear" w:color="auto" w:fill="auto"/>
            <w:vAlign w:val="center"/>
          </w:tcPr>
          <w:p>
            <w:pPr>
              <w:pStyle w:val="99"/>
              <w:numPr>
                <w:ilvl w:val="0"/>
                <w:numId w:val="0"/>
              </w:numPr>
              <w:jc w:val="center"/>
              <w:rPr>
                <w:sz w:val="18"/>
                <w:szCs w:val="18"/>
              </w:rPr>
            </w:pPr>
          </w:p>
        </w:tc>
        <w:tc>
          <w:tcPr>
            <w:tcW w:w="2234" w:type="dxa"/>
            <w:vMerge w:val="restart"/>
            <w:shd w:val="clear" w:color="auto" w:fill="auto"/>
            <w:vAlign w:val="center"/>
          </w:tcPr>
          <w:p>
            <w:pPr>
              <w:spacing w:line="240" w:lineRule="exact"/>
              <w:jc w:val="center"/>
              <w:rPr>
                <w:rFonts w:ascii="宋体" w:hAnsi="宋体" w:cs="仿宋"/>
                <w:sz w:val="18"/>
                <w:szCs w:val="18"/>
              </w:rPr>
            </w:pPr>
            <w:r>
              <w:rPr>
                <w:rFonts w:hint="eastAsia" w:ascii="宋体" w:hAnsi="宋体" w:cs="宋体"/>
                <w:sz w:val="18"/>
                <w:szCs w:val="18"/>
              </w:rPr>
              <w:t>负责人管理</w:t>
            </w:r>
          </w:p>
        </w:tc>
        <w:tc>
          <w:tcPr>
            <w:tcW w:w="4960" w:type="dxa"/>
            <w:tcBorders>
              <w:right w:val="single" w:color="auto" w:sz="12" w:space="0"/>
            </w:tcBorders>
            <w:shd w:val="clear" w:color="auto" w:fill="auto"/>
            <w:vAlign w:val="center"/>
          </w:tcPr>
          <w:p>
            <w:pPr>
              <w:spacing w:line="240" w:lineRule="exact"/>
              <w:rPr>
                <w:rFonts w:ascii="宋体" w:hAnsi="宋体" w:cs="宋体"/>
                <w:sz w:val="18"/>
                <w:szCs w:val="18"/>
              </w:rPr>
            </w:pPr>
            <w:r>
              <w:rPr>
                <w:rFonts w:hint="eastAsia" w:ascii="宋体" w:hAnsi="宋体" w:cs="宋体"/>
                <w:sz w:val="18"/>
                <w:szCs w:val="18"/>
                <w:lang w:eastAsia="zh-Hans"/>
              </w:rPr>
              <w:t>以区或市为单位进行设定等级，不同级别查看权限不同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10" w:type="dxa"/>
            <w:vMerge w:val="continue"/>
            <w:tcBorders>
              <w:left w:val="single" w:color="auto" w:sz="12" w:space="0"/>
            </w:tcBorders>
            <w:shd w:val="clear" w:color="auto" w:fill="auto"/>
            <w:vAlign w:val="center"/>
          </w:tcPr>
          <w:p>
            <w:pPr>
              <w:pStyle w:val="99"/>
              <w:numPr>
                <w:ilvl w:val="0"/>
                <w:numId w:val="0"/>
              </w:numPr>
              <w:jc w:val="center"/>
              <w:rPr>
                <w:sz w:val="18"/>
                <w:szCs w:val="18"/>
              </w:rPr>
            </w:pPr>
          </w:p>
        </w:tc>
        <w:tc>
          <w:tcPr>
            <w:tcW w:w="1452" w:type="dxa"/>
            <w:vMerge w:val="continue"/>
            <w:shd w:val="clear" w:color="auto" w:fill="auto"/>
            <w:vAlign w:val="center"/>
          </w:tcPr>
          <w:p>
            <w:pPr>
              <w:pStyle w:val="99"/>
              <w:numPr>
                <w:ilvl w:val="0"/>
                <w:numId w:val="0"/>
              </w:numPr>
              <w:jc w:val="center"/>
              <w:rPr>
                <w:sz w:val="18"/>
                <w:szCs w:val="18"/>
              </w:rPr>
            </w:pPr>
          </w:p>
        </w:tc>
        <w:tc>
          <w:tcPr>
            <w:tcW w:w="2234" w:type="dxa"/>
            <w:vMerge w:val="continue"/>
            <w:shd w:val="clear" w:color="auto" w:fill="auto"/>
            <w:vAlign w:val="center"/>
          </w:tcPr>
          <w:p>
            <w:pPr>
              <w:spacing w:line="240" w:lineRule="exact"/>
              <w:jc w:val="center"/>
              <w:rPr>
                <w:rFonts w:ascii="宋体" w:hAnsi="宋体" w:cs="仿宋"/>
                <w:sz w:val="18"/>
                <w:szCs w:val="18"/>
              </w:rPr>
            </w:pPr>
          </w:p>
        </w:tc>
        <w:tc>
          <w:tcPr>
            <w:tcW w:w="4960" w:type="dxa"/>
            <w:tcBorders>
              <w:right w:val="single" w:color="auto" w:sz="12" w:space="0"/>
            </w:tcBorders>
            <w:shd w:val="clear" w:color="auto" w:fill="auto"/>
            <w:vAlign w:val="center"/>
          </w:tcPr>
          <w:p>
            <w:pPr>
              <w:spacing w:line="240" w:lineRule="exact"/>
              <w:rPr>
                <w:rFonts w:ascii="宋体" w:hAnsi="宋体" w:cs="宋体"/>
                <w:sz w:val="18"/>
                <w:szCs w:val="18"/>
              </w:rPr>
            </w:pPr>
            <w:r>
              <w:rPr>
                <w:rFonts w:hint="eastAsia" w:ascii="宋体" w:hAnsi="宋体" w:cs="宋体"/>
                <w:sz w:val="18"/>
                <w:szCs w:val="18"/>
              </w:rPr>
              <w:t>可进行增删改负责人信息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10" w:type="dxa"/>
            <w:vMerge w:val="continue"/>
            <w:tcBorders>
              <w:left w:val="single" w:color="auto" w:sz="12" w:space="0"/>
            </w:tcBorders>
            <w:shd w:val="clear" w:color="auto" w:fill="auto"/>
            <w:vAlign w:val="center"/>
          </w:tcPr>
          <w:p>
            <w:pPr>
              <w:pStyle w:val="99"/>
              <w:numPr>
                <w:ilvl w:val="0"/>
                <w:numId w:val="0"/>
              </w:numPr>
              <w:jc w:val="center"/>
              <w:rPr>
                <w:sz w:val="18"/>
                <w:szCs w:val="18"/>
              </w:rPr>
            </w:pPr>
          </w:p>
        </w:tc>
        <w:tc>
          <w:tcPr>
            <w:tcW w:w="1452" w:type="dxa"/>
            <w:vMerge w:val="continue"/>
            <w:shd w:val="clear" w:color="auto" w:fill="auto"/>
            <w:vAlign w:val="center"/>
          </w:tcPr>
          <w:p>
            <w:pPr>
              <w:pStyle w:val="99"/>
              <w:numPr>
                <w:ilvl w:val="0"/>
                <w:numId w:val="0"/>
              </w:numPr>
              <w:jc w:val="center"/>
              <w:rPr>
                <w:sz w:val="18"/>
                <w:szCs w:val="18"/>
              </w:rPr>
            </w:pPr>
          </w:p>
        </w:tc>
        <w:tc>
          <w:tcPr>
            <w:tcW w:w="2234" w:type="dxa"/>
            <w:vMerge w:val="restart"/>
            <w:shd w:val="clear" w:color="auto" w:fill="auto"/>
            <w:vAlign w:val="center"/>
          </w:tcPr>
          <w:p>
            <w:pPr>
              <w:spacing w:line="240" w:lineRule="exact"/>
              <w:jc w:val="center"/>
              <w:rPr>
                <w:rFonts w:ascii="宋体" w:hAnsi="宋体" w:cs="仿宋"/>
                <w:sz w:val="18"/>
                <w:szCs w:val="18"/>
              </w:rPr>
            </w:pPr>
            <w:r>
              <w:rPr>
                <w:rFonts w:hint="eastAsia" w:ascii="宋体" w:hAnsi="宋体" w:cs="宋体"/>
                <w:sz w:val="18"/>
                <w:szCs w:val="18"/>
              </w:rPr>
              <w:t>保洁人员管理</w:t>
            </w:r>
          </w:p>
        </w:tc>
        <w:tc>
          <w:tcPr>
            <w:tcW w:w="4960" w:type="dxa"/>
            <w:tcBorders>
              <w:bottom w:val="single" w:color="auto" w:sz="4" w:space="0"/>
              <w:right w:val="single" w:color="auto" w:sz="12" w:space="0"/>
            </w:tcBorders>
            <w:shd w:val="clear" w:color="auto" w:fill="auto"/>
            <w:vAlign w:val="center"/>
          </w:tcPr>
          <w:p>
            <w:pPr>
              <w:spacing w:line="240" w:lineRule="exact"/>
              <w:rPr>
                <w:rFonts w:ascii="宋体" w:hAnsi="宋体" w:cs="宋体"/>
                <w:sz w:val="18"/>
                <w:szCs w:val="18"/>
              </w:rPr>
            </w:pPr>
            <w:r>
              <w:rPr>
                <w:rFonts w:hint="eastAsia" w:ascii="宋体" w:hAnsi="宋体" w:cs="宋体"/>
                <w:sz w:val="18"/>
                <w:szCs w:val="18"/>
                <w:lang w:eastAsia="zh-Hans"/>
              </w:rPr>
              <w:t>按驿站名称进行保洁对应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10" w:type="dxa"/>
            <w:vMerge w:val="continue"/>
            <w:tcBorders>
              <w:left w:val="single" w:color="auto" w:sz="12" w:space="0"/>
            </w:tcBorders>
            <w:shd w:val="clear" w:color="auto" w:fill="auto"/>
            <w:vAlign w:val="center"/>
          </w:tcPr>
          <w:p>
            <w:pPr>
              <w:pStyle w:val="99"/>
              <w:numPr>
                <w:ilvl w:val="0"/>
                <w:numId w:val="0"/>
              </w:numPr>
              <w:jc w:val="center"/>
              <w:rPr>
                <w:sz w:val="18"/>
                <w:szCs w:val="18"/>
              </w:rPr>
            </w:pPr>
          </w:p>
        </w:tc>
        <w:tc>
          <w:tcPr>
            <w:tcW w:w="1452" w:type="dxa"/>
            <w:vMerge w:val="continue"/>
            <w:shd w:val="clear" w:color="auto" w:fill="auto"/>
            <w:vAlign w:val="center"/>
          </w:tcPr>
          <w:p>
            <w:pPr>
              <w:pStyle w:val="99"/>
              <w:numPr>
                <w:ilvl w:val="0"/>
                <w:numId w:val="0"/>
              </w:numPr>
              <w:jc w:val="center"/>
              <w:rPr>
                <w:sz w:val="18"/>
                <w:szCs w:val="18"/>
              </w:rPr>
            </w:pPr>
          </w:p>
        </w:tc>
        <w:tc>
          <w:tcPr>
            <w:tcW w:w="2234" w:type="dxa"/>
            <w:vMerge w:val="continue"/>
            <w:tcBorders>
              <w:bottom w:val="single" w:color="auto" w:sz="4" w:space="0"/>
            </w:tcBorders>
            <w:shd w:val="clear" w:color="auto" w:fill="auto"/>
            <w:vAlign w:val="center"/>
          </w:tcPr>
          <w:p>
            <w:pPr>
              <w:spacing w:line="240" w:lineRule="exact"/>
              <w:jc w:val="center"/>
              <w:rPr>
                <w:rFonts w:ascii="宋体" w:hAnsi="宋体" w:cs="仿宋"/>
                <w:sz w:val="18"/>
                <w:szCs w:val="18"/>
              </w:rPr>
            </w:pPr>
          </w:p>
        </w:tc>
        <w:tc>
          <w:tcPr>
            <w:tcW w:w="4960" w:type="dxa"/>
            <w:tcBorders>
              <w:top w:val="single" w:color="auto" w:sz="4" w:space="0"/>
              <w:bottom w:val="single" w:color="auto" w:sz="4" w:space="0"/>
              <w:right w:val="single" w:color="auto" w:sz="12" w:space="0"/>
            </w:tcBorders>
            <w:shd w:val="clear" w:color="auto" w:fill="auto"/>
            <w:vAlign w:val="center"/>
          </w:tcPr>
          <w:p>
            <w:pPr>
              <w:spacing w:line="240" w:lineRule="exact"/>
              <w:rPr>
                <w:rFonts w:ascii="宋体" w:hAnsi="宋体" w:cs="宋体"/>
                <w:sz w:val="18"/>
                <w:szCs w:val="18"/>
              </w:rPr>
            </w:pPr>
            <w:r>
              <w:rPr>
                <w:rFonts w:hint="eastAsia" w:ascii="宋体" w:hAnsi="宋体" w:cs="宋体"/>
                <w:sz w:val="18"/>
                <w:szCs w:val="18"/>
              </w:rPr>
              <w:t>可进行增删改保洁人员信息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10" w:type="dxa"/>
            <w:vMerge w:val="continue"/>
            <w:tcBorders>
              <w:left w:val="single" w:color="auto" w:sz="12" w:space="0"/>
            </w:tcBorders>
            <w:shd w:val="clear" w:color="auto" w:fill="auto"/>
            <w:vAlign w:val="center"/>
          </w:tcPr>
          <w:p>
            <w:pPr>
              <w:pStyle w:val="99"/>
              <w:numPr>
                <w:ilvl w:val="0"/>
                <w:numId w:val="0"/>
              </w:numPr>
              <w:jc w:val="center"/>
              <w:rPr>
                <w:sz w:val="18"/>
                <w:szCs w:val="18"/>
              </w:rPr>
            </w:pPr>
          </w:p>
        </w:tc>
        <w:tc>
          <w:tcPr>
            <w:tcW w:w="1452" w:type="dxa"/>
            <w:vMerge w:val="continue"/>
            <w:shd w:val="clear" w:color="auto" w:fill="auto"/>
            <w:vAlign w:val="center"/>
          </w:tcPr>
          <w:p>
            <w:pPr>
              <w:pStyle w:val="99"/>
              <w:numPr>
                <w:ilvl w:val="0"/>
                <w:numId w:val="0"/>
              </w:numPr>
              <w:jc w:val="center"/>
              <w:rPr>
                <w:sz w:val="18"/>
                <w:szCs w:val="18"/>
              </w:rPr>
            </w:pPr>
          </w:p>
        </w:tc>
        <w:tc>
          <w:tcPr>
            <w:tcW w:w="2234" w:type="dxa"/>
            <w:shd w:val="clear" w:color="auto" w:fill="auto"/>
            <w:vAlign w:val="center"/>
          </w:tcPr>
          <w:p>
            <w:pPr>
              <w:spacing w:line="240" w:lineRule="exact"/>
              <w:jc w:val="center"/>
              <w:rPr>
                <w:rFonts w:ascii="宋体" w:hAnsi="宋体" w:cs="宋体"/>
                <w:sz w:val="18"/>
                <w:szCs w:val="18"/>
              </w:rPr>
            </w:pPr>
            <w:r>
              <w:rPr>
                <w:rFonts w:hint="eastAsia" w:ascii="宋体" w:hAnsi="宋体" w:cs="宋体"/>
                <w:sz w:val="18"/>
                <w:szCs w:val="18"/>
              </w:rPr>
              <w:t>驿站数据导入</w:t>
            </w:r>
          </w:p>
        </w:tc>
        <w:tc>
          <w:tcPr>
            <w:tcW w:w="4960" w:type="dxa"/>
            <w:tcBorders>
              <w:bottom w:val="single" w:color="auto" w:sz="4" w:space="0"/>
              <w:right w:val="single" w:color="auto" w:sz="12" w:space="0"/>
            </w:tcBorders>
            <w:shd w:val="clear" w:color="auto" w:fill="auto"/>
            <w:vAlign w:val="center"/>
          </w:tcPr>
          <w:p>
            <w:pPr>
              <w:spacing w:line="240" w:lineRule="exact"/>
              <w:rPr>
                <w:rFonts w:ascii="宋体" w:hAnsi="宋体" w:cs="宋体"/>
                <w:sz w:val="18"/>
                <w:szCs w:val="18"/>
              </w:rPr>
            </w:pPr>
            <w:r>
              <w:rPr>
                <w:rFonts w:hint="eastAsia" w:ascii="宋体" w:hAnsi="宋体" w:cs="宋体"/>
                <w:sz w:val="18"/>
                <w:szCs w:val="18"/>
              </w:rPr>
              <w:t>可根据区域筛选，</w:t>
            </w:r>
            <w:r>
              <w:rPr>
                <w:rFonts w:hint="eastAsia" w:ascii="宋体" w:hAnsi="宋体" w:cs="宋体"/>
                <w:sz w:val="18"/>
                <w:szCs w:val="18"/>
                <w:lang w:eastAsia="zh-Hans"/>
              </w:rPr>
              <w:t>逐条增加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10" w:type="dxa"/>
            <w:vMerge w:val="continue"/>
            <w:tcBorders>
              <w:left w:val="single" w:color="auto" w:sz="12" w:space="0"/>
            </w:tcBorders>
            <w:shd w:val="clear" w:color="auto" w:fill="auto"/>
            <w:vAlign w:val="center"/>
          </w:tcPr>
          <w:p>
            <w:pPr>
              <w:pStyle w:val="99"/>
              <w:numPr>
                <w:ilvl w:val="0"/>
                <w:numId w:val="0"/>
              </w:numPr>
              <w:jc w:val="center"/>
              <w:rPr>
                <w:sz w:val="18"/>
                <w:szCs w:val="18"/>
              </w:rPr>
            </w:pPr>
          </w:p>
        </w:tc>
        <w:tc>
          <w:tcPr>
            <w:tcW w:w="1452" w:type="dxa"/>
            <w:vMerge w:val="continue"/>
            <w:shd w:val="clear" w:color="auto" w:fill="auto"/>
            <w:vAlign w:val="center"/>
          </w:tcPr>
          <w:p>
            <w:pPr>
              <w:pStyle w:val="99"/>
              <w:numPr>
                <w:ilvl w:val="0"/>
                <w:numId w:val="0"/>
              </w:numPr>
              <w:jc w:val="center"/>
              <w:rPr>
                <w:sz w:val="18"/>
                <w:szCs w:val="18"/>
              </w:rPr>
            </w:pPr>
          </w:p>
        </w:tc>
        <w:tc>
          <w:tcPr>
            <w:tcW w:w="2234" w:type="dxa"/>
            <w:tcBorders>
              <w:bottom w:val="single" w:color="auto" w:sz="4" w:space="0"/>
            </w:tcBorders>
            <w:shd w:val="clear" w:color="auto" w:fill="auto"/>
            <w:vAlign w:val="center"/>
          </w:tcPr>
          <w:p>
            <w:pPr>
              <w:spacing w:line="240" w:lineRule="exact"/>
              <w:jc w:val="center"/>
              <w:rPr>
                <w:rFonts w:ascii="宋体" w:hAnsi="宋体" w:cs="宋体"/>
                <w:sz w:val="18"/>
                <w:szCs w:val="18"/>
              </w:rPr>
            </w:pPr>
            <w:r>
              <w:rPr>
                <w:rFonts w:hint="eastAsia" w:ascii="宋体" w:hAnsi="宋体" w:cs="宋体"/>
                <w:sz w:val="18"/>
                <w:szCs w:val="18"/>
              </w:rPr>
              <w:t>驿站信息编辑</w:t>
            </w:r>
          </w:p>
        </w:tc>
        <w:tc>
          <w:tcPr>
            <w:tcW w:w="4960" w:type="dxa"/>
            <w:tcBorders>
              <w:top w:val="single" w:color="auto" w:sz="4" w:space="0"/>
              <w:bottom w:val="single" w:color="auto" w:sz="4" w:space="0"/>
              <w:right w:val="single" w:color="auto" w:sz="12" w:space="0"/>
            </w:tcBorders>
            <w:shd w:val="clear" w:color="auto" w:fill="auto"/>
            <w:vAlign w:val="center"/>
          </w:tcPr>
          <w:p>
            <w:pPr>
              <w:spacing w:line="240" w:lineRule="exact"/>
              <w:rPr>
                <w:rFonts w:ascii="宋体" w:hAnsi="宋体" w:cs="宋体"/>
                <w:sz w:val="18"/>
                <w:szCs w:val="18"/>
              </w:rPr>
            </w:pPr>
            <w:r>
              <w:rPr>
                <w:rFonts w:hint="eastAsia" w:ascii="宋体" w:hAnsi="宋体" w:cs="宋体"/>
                <w:sz w:val="18"/>
                <w:szCs w:val="18"/>
              </w:rPr>
              <w:t>可针对单个驿站信息查看、信息编辑、图片上传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10" w:type="dxa"/>
            <w:vMerge w:val="continue"/>
            <w:tcBorders>
              <w:left w:val="single" w:color="auto" w:sz="12" w:space="0"/>
              <w:bottom w:val="single" w:color="auto" w:sz="4" w:space="0"/>
            </w:tcBorders>
            <w:shd w:val="clear" w:color="auto" w:fill="auto"/>
            <w:vAlign w:val="center"/>
          </w:tcPr>
          <w:p>
            <w:pPr>
              <w:pStyle w:val="99"/>
              <w:numPr>
                <w:ilvl w:val="0"/>
                <w:numId w:val="0"/>
              </w:numPr>
              <w:jc w:val="center"/>
              <w:rPr>
                <w:sz w:val="18"/>
                <w:szCs w:val="18"/>
              </w:rPr>
            </w:pPr>
          </w:p>
        </w:tc>
        <w:tc>
          <w:tcPr>
            <w:tcW w:w="1452" w:type="dxa"/>
            <w:vMerge w:val="continue"/>
            <w:tcBorders>
              <w:bottom w:val="single" w:color="auto" w:sz="4" w:space="0"/>
            </w:tcBorders>
            <w:shd w:val="clear" w:color="auto" w:fill="auto"/>
            <w:vAlign w:val="center"/>
          </w:tcPr>
          <w:p>
            <w:pPr>
              <w:pStyle w:val="99"/>
              <w:numPr>
                <w:ilvl w:val="0"/>
                <w:numId w:val="0"/>
              </w:numPr>
              <w:jc w:val="center"/>
              <w:rPr>
                <w:sz w:val="18"/>
                <w:szCs w:val="18"/>
              </w:rPr>
            </w:pPr>
          </w:p>
        </w:tc>
        <w:tc>
          <w:tcPr>
            <w:tcW w:w="2234" w:type="dxa"/>
            <w:tcBorders>
              <w:top w:val="single" w:color="auto" w:sz="4" w:space="0"/>
            </w:tcBorders>
            <w:shd w:val="clear" w:color="auto" w:fill="auto"/>
            <w:vAlign w:val="center"/>
          </w:tcPr>
          <w:p>
            <w:pPr>
              <w:spacing w:line="240" w:lineRule="exact"/>
              <w:jc w:val="center"/>
              <w:rPr>
                <w:rFonts w:ascii="宋体" w:hAnsi="宋体" w:cs="宋体"/>
                <w:sz w:val="18"/>
                <w:szCs w:val="18"/>
              </w:rPr>
            </w:pPr>
            <w:r>
              <w:rPr>
                <w:rFonts w:hint="eastAsia" w:ascii="宋体" w:hAnsi="宋体" w:cs="宋体"/>
                <w:sz w:val="18"/>
                <w:szCs w:val="18"/>
              </w:rPr>
              <w:t>驿站数据展示</w:t>
            </w:r>
          </w:p>
        </w:tc>
        <w:tc>
          <w:tcPr>
            <w:tcW w:w="4960" w:type="dxa"/>
            <w:tcBorders>
              <w:top w:val="single" w:color="auto" w:sz="4" w:space="0"/>
              <w:right w:val="single" w:color="auto" w:sz="12" w:space="0"/>
            </w:tcBorders>
            <w:shd w:val="clear" w:color="auto" w:fill="auto"/>
            <w:vAlign w:val="center"/>
          </w:tcPr>
          <w:p>
            <w:pPr>
              <w:rPr>
                <w:rFonts w:ascii="宋体" w:hAnsi="宋体" w:cs="宋体"/>
                <w:sz w:val="18"/>
                <w:szCs w:val="18"/>
              </w:rPr>
            </w:pPr>
            <w:r>
              <w:rPr>
                <w:rFonts w:hint="eastAsia" w:ascii="宋体" w:hAnsi="宋体" w:cs="宋体"/>
                <w:sz w:val="18"/>
                <w:szCs w:val="18"/>
              </w:rPr>
              <w:t>可查看单个驿站数据：</w:t>
            </w:r>
            <w:r>
              <w:rPr>
                <w:rFonts w:hint="eastAsia" w:ascii="宋体" w:hAnsi="宋体" w:cs="宋体"/>
                <w:sz w:val="18"/>
                <w:szCs w:val="18"/>
                <w:lang w:eastAsia="zh-Hans"/>
              </w:rPr>
              <w:t>空气质量数据、水电数据、人流量、保洁人员信息、打扫数据等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10" w:type="dxa"/>
            <w:vMerge w:val="restart"/>
            <w:tcBorders>
              <w:top w:val="single" w:color="auto" w:sz="4" w:space="0"/>
              <w:left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2</w:t>
            </w:r>
          </w:p>
        </w:tc>
        <w:tc>
          <w:tcPr>
            <w:tcW w:w="1452" w:type="dxa"/>
            <w:vMerge w:val="restart"/>
            <w:tcBorders>
              <w:top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PC端管理系统</w:t>
            </w:r>
          </w:p>
        </w:tc>
        <w:tc>
          <w:tcPr>
            <w:tcW w:w="2234" w:type="dxa"/>
            <w:shd w:val="clear" w:color="auto" w:fill="auto"/>
            <w:vAlign w:val="center"/>
          </w:tcPr>
          <w:p>
            <w:pPr>
              <w:spacing w:line="240" w:lineRule="exact"/>
              <w:jc w:val="center"/>
              <w:rPr>
                <w:rFonts w:ascii="宋体" w:hAnsi="宋体" w:cs="宋体"/>
                <w:sz w:val="18"/>
                <w:szCs w:val="18"/>
              </w:rPr>
            </w:pPr>
            <w:r>
              <w:rPr>
                <w:rFonts w:hint="eastAsia" w:ascii="宋体" w:hAnsi="宋体" w:cs="宋体"/>
                <w:sz w:val="18"/>
                <w:szCs w:val="18"/>
              </w:rPr>
              <w:t>环卫风采</w:t>
            </w:r>
          </w:p>
        </w:tc>
        <w:tc>
          <w:tcPr>
            <w:tcW w:w="4960" w:type="dxa"/>
            <w:tcBorders>
              <w:right w:val="single" w:color="auto" w:sz="12" w:space="0"/>
            </w:tcBorders>
            <w:shd w:val="clear" w:color="auto" w:fill="auto"/>
            <w:vAlign w:val="center"/>
          </w:tcPr>
          <w:p>
            <w:pPr>
              <w:spacing w:line="240" w:lineRule="exact"/>
              <w:jc w:val="left"/>
              <w:rPr>
                <w:rFonts w:ascii="宋体" w:hAnsi="宋体" w:cs="宋体"/>
                <w:sz w:val="18"/>
                <w:szCs w:val="18"/>
              </w:rPr>
            </w:pPr>
            <w:r>
              <w:rPr>
                <w:rFonts w:hint="eastAsia" w:ascii="宋体" w:hAnsi="宋体" w:cs="宋体"/>
                <w:sz w:val="18"/>
                <w:szCs w:val="18"/>
              </w:rPr>
              <w:t>风采信息增删改操作，支持文字＋图片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10" w:type="dxa"/>
            <w:vMerge w:val="continue"/>
            <w:tcBorders>
              <w:left w:val="single" w:color="auto" w:sz="12" w:space="0"/>
            </w:tcBorders>
            <w:shd w:val="clear" w:color="auto" w:fill="auto"/>
            <w:vAlign w:val="center"/>
          </w:tcPr>
          <w:p>
            <w:pPr>
              <w:pStyle w:val="99"/>
              <w:numPr>
                <w:ilvl w:val="0"/>
                <w:numId w:val="0"/>
              </w:numPr>
              <w:jc w:val="center"/>
              <w:rPr>
                <w:sz w:val="18"/>
                <w:szCs w:val="18"/>
              </w:rPr>
            </w:pPr>
          </w:p>
        </w:tc>
        <w:tc>
          <w:tcPr>
            <w:tcW w:w="1452" w:type="dxa"/>
            <w:vMerge w:val="continue"/>
            <w:shd w:val="clear" w:color="auto" w:fill="auto"/>
            <w:vAlign w:val="center"/>
          </w:tcPr>
          <w:p>
            <w:pPr>
              <w:pStyle w:val="99"/>
              <w:numPr>
                <w:ilvl w:val="0"/>
                <w:numId w:val="0"/>
              </w:numPr>
              <w:jc w:val="center"/>
              <w:rPr>
                <w:sz w:val="18"/>
                <w:szCs w:val="18"/>
              </w:rPr>
            </w:pPr>
          </w:p>
        </w:tc>
        <w:tc>
          <w:tcPr>
            <w:tcW w:w="2234" w:type="dxa"/>
            <w:shd w:val="clear" w:color="auto" w:fill="auto"/>
            <w:vAlign w:val="center"/>
          </w:tcPr>
          <w:p>
            <w:pPr>
              <w:spacing w:line="240" w:lineRule="exact"/>
              <w:jc w:val="center"/>
              <w:rPr>
                <w:rFonts w:ascii="宋体" w:hAnsi="宋体"/>
                <w:sz w:val="18"/>
                <w:szCs w:val="18"/>
              </w:rPr>
            </w:pPr>
            <w:r>
              <w:rPr>
                <w:rFonts w:hint="eastAsia" w:ascii="宋体" w:hAnsi="宋体" w:cs="宋体"/>
                <w:sz w:val="18"/>
                <w:szCs w:val="18"/>
                <w:lang w:eastAsia="zh-Hans"/>
              </w:rPr>
              <w:t>报</w:t>
            </w:r>
            <w:r>
              <w:rPr>
                <w:rFonts w:hint="eastAsia" w:ascii="宋体" w:hAnsi="宋体" w:cs="宋体"/>
                <w:sz w:val="18"/>
                <w:szCs w:val="18"/>
              </w:rPr>
              <w:t>修记录</w:t>
            </w:r>
          </w:p>
        </w:tc>
        <w:tc>
          <w:tcPr>
            <w:tcW w:w="4960" w:type="dxa"/>
            <w:tcBorders>
              <w:right w:val="single" w:color="auto" w:sz="12" w:space="0"/>
            </w:tcBorders>
            <w:shd w:val="clear" w:color="auto" w:fill="auto"/>
            <w:vAlign w:val="center"/>
          </w:tcPr>
          <w:p>
            <w:pPr>
              <w:spacing w:line="240" w:lineRule="exact"/>
              <w:jc w:val="left"/>
              <w:rPr>
                <w:rFonts w:ascii="宋体" w:hAnsi="宋体" w:cs="宋体"/>
                <w:sz w:val="18"/>
                <w:szCs w:val="18"/>
              </w:rPr>
            </w:pPr>
            <w:r>
              <w:rPr>
                <w:rFonts w:hint="eastAsia" w:ascii="宋体" w:hAnsi="宋体" w:cs="宋体"/>
                <w:sz w:val="18"/>
                <w:szCs w:val="18"/>
                <w:lang w:eastAsia="zh-Hans"/>
              </w:rPr>
              <w:t>报</w:t>
            </w:r>
            <w:r>
              <w:rPr>
                <w:rFonts w:hint="eastAsia" w:ascii="宋体" w:hAnsi="宋体" w:cs="宋体"/>
                <w:sz w:val="18"/>
                <w:szCs w:val="18"/>
              </w:rPr>
              <w:t>修记录上传、查看、状态的更改，</w:t>
            </w:r>
            <w:r>
              <w:rPr>
                <w:rFonts w:hint="eastAsia" w:ascii="宋体" w:hAnsi="宋体" w:cs="宋体"/>
                <w:sz w:val="18"/>
                <w:szCs w:val="18"/>
                <w:lang w:eastAsia="zh-Hans"/>
              </w:rPr>
              <w:t>维修时效、倒计时提醒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10" w:type="dxa"/>
            <w:vMerge w:val="continue"/>
            <w:tcBorders>
              <w:left w:val="single" w:color="auto" w:sz="12" w:space="0"/>
            </w:tcBorders>
            <w:shd w:val="clear" w:color="auto" w:fill="auto"/>
            <w:vAlign w:val="center"/>
          </w:tcPr>
          <w:p>
            <w:pPr>
              <w:pStyle w:val="99"/>
              <w:numPr>
                <w:ilvl w:val="0"/>
                <w:numId w:val="0"/>
              </w:numPr>
              <w:jc w:val="center"/>
              <w:rPr>
                <w:sz w:val="18"/>
                <w:szCs w:val="18"/>
              </w:rPr>
            </w:pPr>
          </w:p>
        </w:tc>
        <w:tc>
          <w:tcPr>
            <w:tcW w:w="1452" w:type="dxa"/>
            <w:vMerge w:val="continue"/>
            <w:shd w:val="clear" w:color="auto" w:fill="auto"/>
            <w:vAlign w:val="center"/>
          </w:tcPr>
          <w:p>
            <w:pPr>
              <w:pStyle w:val="99"/>
              <w:numPr>
                <w:ilvl w:val="0"/>
                <w:numId w:val="0"/>
              </w:numPr>
              <w:jc w:val="center"/>
              <w:rPr>
                <w:sz w:val="18"/>
                <w:szCs w:val="18"/>
              </w:rPr>
            </w:pPr>
          </w:p>
        </w:tc>
        <w:tc>
          <w:tcPr>
            <w:tcW w:w="2234" w:type="dxa"/>
            <w:shd w:val="clear" w:color="auto" w:fill="auto"/>
            <w:vAlign w:val="center"/>
          </w:tcPr>
          <w:p>
            <w:pPr>
              <w:spacing w:line="240" w:lineRule="exact"/>
              <w:jc w:val="center"/>
              <w:rPr>
                <w:rFonts w:ascii="宋体" w:hAnsi="宋体"/>
                <w:sz w:val="18"/>
                <w:szCs w:val="18"/>
              </w:rPr>
            </w:pPr>
            <w:r>
              <w:rPr>
                <w:rFonts w:hint="eastAsia" w:ascii="宋体" w:hAnsi="宋体" w:cs="宋体"/>
                <w:sz w:val="18"/>
                <w:szCs w:val="18"/>
              </w:rPr>
              <w:t>评价管理</w:t>
            </w:r>
          </w:p>
        </w:tc>
        <w:tc>
          <w:tcPr>
            <w:tcW w:w="4960" w:type="dxa"/>
            <w:tcBorders>
              <w:right w:val="single" w:color="auto" w:sz="12" w:space="0"/>
            </w:tcBorders>
            <w:shd w:val="clear" w:color="auto" w:fill="auto"/>
            <w:vAlign w:val="center"/>
          </w:tcPr>
          <w:p>
            <w:pPr>
              <w:spacing w:line="240" w:lineRule="exact"/>
              <w:jc w:val="left"/>
              <w:rPr>
                <w:rFonts w:ascii="宋体" w:hAnsi="宋体" w:cs="宋体"/>
                <w:sz w:val="18"/>
                <w:szCs w:val="18"/>
              </w:rPr>
            </w:pPr>
            <w:r>
              <w:rPr>
                <w:rFonts w:hint="eastAsia" w:ascii="宋体" w:hAnsi="宋体" w:cs="宋体"/>
                <w:sz w:val="18"/>
                <w:szCs w:val="18"/>
              </w:rPr>
              <w:t>筛选查看驿站的满意度评价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10" w:type="dxa"/>
            <w:vMerge w:val="continue"/>
            <w:tcBorders>
              <w:left w:val="single" w:color="auto" w:sz="12" w:space="0"/>
              <w:bottom w:val="single" w:color="auto" w:sz="4" w:space="0"/>
            </w:tcBorders>
            <w:shd w:val="clear" w:color="auto" w:fill="auto"/>
            <w:vAlign w:val="center"/>
          </w:tcPr>
          <w:p>
            <w:pPr>
              <w:pStyle w:val="99"/>
              <w:numPr>
                <w:ilvl w:val="0"/>
                <w:numId w:val="0"/>
              </w:numPr>
              <w:jc w:val="center"/>
              <w:rPr>
                <w:sz w:val="18"/>
                <w:szCs w:val="18"/>
              </w:rPr>
            </w:pPr>
          </w:p>
        </w:tc>
        <w:tc>
          <w:tcPr>
            <w:tcW w:w="1452" w:type="dxa"/>
            <w:vMerge w:val="continue"/>
            <w:tcBorders>
              <w:bottom w:val="single" w:color="auto" w:sz="4" w:space="0"/>
            </w:tcBorders>
            <w:shd w:val="clear" w:color="auto" w:fill="auto"/>
            <w:vAlign w:val="center"/>
          </w:tcPr>
          <w:p>
            <w:pPr>
              <w:pStyle w:val="99"/>
              <w:numPr>
                <w:ilvl w:val="0"/>
                <w:numId w:val="0"/>
              </w:numPr>
              <w:jc w:val="center"/>
              <w:rPr>
                <w:sz w:val="18"/>
                <w:szCs w:val="18"/>
              </w:rPr>
            </w:pPr>
          </w:p>
        </w:tc>
        <w:tc>
          <w:tcPr>
            <w:tcW w:w="2234" w:type="dxa"/>
            <w:tcBorders>
              <w:bottom w:val="single" w:color="auto" w:sz="4" w:space="0"/>
            </w:tcBorders>
            <w:shd w:val="clear" w:color="auto" w:fill="auto"/>
            <w:vAlign w:val="center"/>
          </w:tcPr>
          <w:p>
            <w:pPr>
              <w:spacing w:line="240" w:lineRule="exact"/>
              <w:jc w:val="center"/>
              <w:rPr>
                <w:rFonts w:ascii="宋体" w:hAnsi="宋体"/>
                <w:sz w:val="18"/>
                <w:szCs w:val="18"/>
              </w:rPr>
            </w:pPr>
            <w:r>
              <w:rPr>
                <w:rFonts w:hint="eastAsia" w:ascii="宋体" w:hAnsi="宋体" w:cs="宋体"/>
                <w:sz w:val="18"/>
                <w:szCs w:val="18"/>
              </w:rPr>
              <w:t>数据统计管理</w:t>
            </w:r>
          </w:p>
        </w:tc>
        <w:tc>
          <w:tcPr>
            <w:tcW w:w="4960" w:type="dxa"/>
            <w:tcBorders>
              <w:bottom w:val="single" w:color="auto" w:sz="4" w:space="0"/>
              <w:right w:val="single" w:color="auto" w:sz="12" w:space="0"/>
            </w:tcBorders>
            <w:shd w:val="clear" w:color="auto" w:fill="auto"/>
            <w:vAlign w:val="center"/>
          </w:tcPr>
          <w:p>
            <w:pPr>
              <w:spacing w:line="240" w:lineRule="exact"/>
              <w:jc w:val="left"/>
              <w:rPr>
                <w:rFonts w:ascii="宋体" w:hAnsi="宋体" w:cs="宋体"/>
                <w:sz w:val="18"/>
                <w:szCs w:val="18"/>
              </w:rPr>
            </w:pPr>
            <w:r>
              <w:rPr>
                <w:rFonts w:hint="eastAsia" w:ascii="宋体" w:hAnsi="宋体" w:cs="宋体"/>
                <w:sz w:val="18"/>
                <w:szCs w:val="18"/>
              </w:rPr>
              <w:t>可按相对应条件筛选</w:t>
            </w:r>
          </w:p>
        </w:tc>
      </w:tr>
    </w:tbl>
    <w:p>
      <w:pPr>
        <w:pStyle w:val="122"/>
        <w:tabs>
          <w:tab w:val="clear" w:pos="360"/>
        </w:tabs>
      </w:pPr>
      <w:r>
        <w:rPr>
          <w:rFonts w:hint="eastAsia"/>
        </w:rPr>
        <w:t xml:space="preserve">表A.3  </w:t>
      </w:r>
      <w:r>
        <w:rPr>
          <w:rFonts w:hint="eastAsia" w:hAnsi="宋体"/>
        </w:rPr>
        <w:t>智慧管理平台</w:t>
      </w:r>
      <w:r>
        <w:rPr>
          <w:rFonts w:hint="eastAsia"/>
        </w:rPr>
        <w:t>模块及功能</w:t>
      </w:r>
      <w:r>
        <w:rPr>
          <w:rFonts w:hint="eastAsia" w:ascii="宋体" w:hAnsi="宋体" w:eastAsia="宋体"/>
        </w:rPr>
        <w:t>（续）</w:t>
      </w:r>
    </w:p>
    <w:tbl>
      <w:tblPr>
        <w:tblStyle w:val="29"/>
        <w:tblW w:w="93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0"/>
        <w:gridCol w:w="1452"/>
        <w:gridCol w:w="2234"/>
        <w:gridCol w:w="49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10" w:type="dxa"/>
            <w:tcBorders>
              <w:top w:val="single" w:color="auto" w:sz="12" w:space="0"/>
              <w:left w:val="single" w:color="auto" w:sz="12" w:space="0"/>
              <w:bottom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序号</w:t>
            </w:r>
          </w:p>
        </w:tc>
        <w:tc>
          <w:tcPr>
            <w:tcW w:w="1452" w:type="dxa"/>
            <w:tcBorders>
              <w:top w:val="single" w:color="auto" w:sz="12" w:space="0"/>
              <w:bottom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模块</w:t>
            </w:r>
          </w:p>
        </w:tc>
        <w:tc>
          <w:tcPr>
            <w:tcW w:w="2234" w:type="dxa"/>
            <w:tcBorders>
              <w:top w:val="single" w:color="auto" w:sz="12" w:space="0"/>
              <w:bottom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功能名称</w:t>
            </w:r>
          </w:p>
        </w:tc>
        <w:tc>
          <w:tcPr>
            <w:tcW w:w="4960" w:type="dxa"/>
            <w:tcBorders>
              <w:top w:val="single" w:color="auto" w:sz="12" w:space="0"/>
              <w:bottom w:val="single" w:color="auto" w:sz="12" w:space="0"/>
              <w:right w:val="single" w:color="auto" w:sz="12" w:space="0"/>
            </w:tcBorders>
            <w:shd w:val="clear" w:color="auto" w:fill="auto"/>
            <w:vAlign w:val="center"/>
          </w:tcPr>
          <w:p>
            <w:pPr>
              <w:pStyle w:val="99"/>
              <w:numPr>
                <w:ilvl w:val="0"/>
                <w:numId w:val="0"/>
              </w:numPr>
              <w:jc w:val="center"/>
              <w:rPr>
                <w:sz w:val="18"/>
                <w:szCs w:val="18"/>
              </w:rPr>
            </w:pPr>
            <w:r>
              <w:rPr>
                <w:rFonts w:hint="eastAsia"/>
                <w:sz w:val="18"/>
                <w:szCs w:val="18"/>
              </w:rPr>
              <w:t>功能说明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10" w:type="dxa"/>
            <w:vMerge w:val="restart"/>
            <w:tcBorders>
              <w:top w:val="single" w:color="auto" w:sz="4" w:space="0"/>
              <w:left w:val="single" w:color="auto" w:sz="12" w:space="0"/>
            </w:tcBorders>
            <w:shd w:val="clear" w:color="auto" w:fill="auto"/>
            <w:vAlign w:val="center"/>
          </w:tcPr>
          <w:p>
            <w:pPr>
              <w:jc w:val="center"/>
              <w:rPr>
                <w:rFonts w:ascii="宋体" w:hAnsi="宋体" w:cs="宋体"/>
                <w:sz w:val="18"/>
                <w:szCs w:val="18"/>
                <w:lang w:eastAsia="zh-Hans"/>
              </w:rPr>
            </w:pPr>
            <w:r>
              <w:rPr>
                <w:rFonts w:hint="eastAsia" w:ascii="宋体" w:hAnsi="宋体" w:cs="宋体"/>
                <w:sz w:val="18"/>
                <w:szCs w:val="18"/>
                <w:lang w:eastAsia="zh-Hans"/>
              </w:rPr>
              <w:t>3</w:t>
            </w:r>
          </w:p>
        </w:tc>
        <w:tc>
          <w:tcPr>
            <w:tcW w:w="1452" w:type="dxa"/>
            <w:vMerge w:val="restart"/>
            <w:tcBorders>
              <w:top w:val="single" w:color="auto" w:sz="4" w:space="0"/>
            </w:tcBorders>
            <w:shd w:val="clear" w:color="auto" w:fill="auto"/>
            <w:vAlign w:val="center"/>
          </w:tcPr>
          <w:p>
            <w:pPr>
              <w:jc w:val="center"/>
              <w:rPr>
                <w:rFonts w:ascii="宋体" w:hAnsi="宋体" w:cs="宋体"/>
                <w:sz w:val="18"/>
                <w:szCs w:val="18"/>
                <w:lang w:eastAsia="zh-Hans"/>
              </w:rPr>
            </w:pPr>
            <w:r>
              <w:rPr>
                <w:rFonts w:hint="eastAsia" w:ascii="宋体" w:hAnsi="宋体" w:cs="宋体"/>
                <w:sz w:val="18"/>
                <w:szCs w:val="18"/>
                <w:lang w:eastAsia="zh-Hans"/>
              </w:rPr>
              <w:t>智慧显示终端</w:t>
            </w:r>
          </w:p>
        </w:tc>
        <w:tc>
          <w:tcPr>
            <w:tcW w:w="2234" w:type="dxa"/>
            <w:shd w:val="clear" w:color="auto" w:fill="auto"/>
            <w:vAlign w:val="center"/>
          </w:tcPr>
          <w:p>
            <w:pPr>
              <w:spacing w:line="240" w:lineRule="exact"/>
              <w:jc w:val="center"/>
              <w:rPr>
                <w:rFonts w:ascii="宋体" w:hAnsi="宋体" w:cs="宋体"/>
                <w:sz w:val="18"/>
                <w:szCs w:val="18"/>
                <w:lang w:eastAsia="zh-Hans"/>
              </w:rPr>
            </w:pPr>
            <w:r>
              <w:rPr>
                <w:rFonts w:hint="eastAsia" w:ascii="宋体" w:hAnsi="宋体" w:cs="宋体"/>
                <w:sz w:val="18"/>
                <w:szCs w:val="18"/>
                <w:lang w:eastAsia="zh-Hans"/>
              </w:rPr>
              <w:t>43寸LED高清显示终端</w:t>
            </w:r>
          </w:p>
        </w:tc>
        <w:tc>
          <w:tcPr>
            <w:tcW w:w="4960" w:type="dxa"/>
            <w:tcBorders>
              <w:right w:val="single" w:color="auto" w:sz="12" w:space="0"/>
            </w:tcBorders>
            <w:shd w:val="clear" w:color="auto" w:fill="auto"/>
            <w:vAlign w:val="center"/>
          </w:tcPr>
          <w:p>
            <w:pPr>
              <w:spacing w:line="240" w:lineRule="exact"/>
              <w:jc w:val="left"/>
              <w:rPr>
                <w:rFonts w:ascii="宋体" w:hAnsi="宋体" w:cs="宋体"/>
                <w:sz w:val="18"/>
                <w:szCs w:val="18"/>
              </w:rPr>
            </w:pPr>
            <w:r>
              <w:rPr>
                <w:rFonts w:hint="eastAsia" w:ascii="宋体" w:hAnsi="宋体" w:cs="宋体"/>
                <w:sz w:val="18"/>
                <w:szCs w:val="18"/>
                <w:lang w:eastAsia="zh-Hans"/>
              </w:rPr>
              <w:t>高清晰度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10" w:type="dxa"/>
            <w:vMerge w:val="continue"/>
            <w:tcBorders>
              <w:left w:val="single" w:color="auto" w:sz="12" w:space="0"/>
            </w:tcBorders>
            <w:shd w:val="clear" w:color="auto" w:fill="auto"/>
            <w:vAlign w:val="center"/>
          </w:tcPr>
          <w:p>
            <w:pPr>
              <w:pStyle w:val="99"/>
              <w:numPr>
                <w:ilvl w:val="0"/>
                <w:numId w:val="0"/>
              </w:numPr>
              <w:jc w:val="center"/>
              <w:rPr>
                <w:sz w:val="18"/>
                <w:szCs w:val="18"/>
              </w:rPr>
            </w:pPr>
          </w:p>
        </w:tc>
        <w:tc>
          <w:tcPr>
            <w:tcW w:w="1452" w:type="dxa"/>
            <w:vMerge w:val="continue"/>
            <w:shd w:val="clear" w:color="auto" w:fill="auto"/>
            <w:vAlign w:val="center"/>
          </w:tcPr>
          <w:p>
            <w:pPr>
              <w:pStyle w:val="99"/>
              <w:numPr>
                <w:ilvl w:val="0"/>
                <w:numId w:val="0"/>
              </w:numPr>
              <w:jc w:val="center"/>
              <w:rPr>
                <w:sz w:val="18"/>
                <w:szCs w:val="18"/>
              </w:rPr>
            </w:pPr>
          </w:p>
        </w:tc>
        <w:tc>
          <w:tcPr>
            <w:tcW w:w="2234" w:type="dxa"/>
            <w:shd w:val="clear" w:color="auto" w:fill="auto"/>
            <w:vAlign w:val="center"/>
          </w:tcPr>
          <w:p>
            <w:pPr>
              <w:spacing w:line="240" w:lineRule="exact"/>
              <w:jc w:val="center"/>
              <w:rPr>
                <w:rFonts w:ascii="宋体" w:hAnsi="宋体" w:cs="宋体"/>
                <w:sz w:val="18"/>
                <w:szCs w:val="18"/>
                <w:lang w:eastAsia="zh-Hans"/>
              </w:rPr>
            </w:pPr>
            <w:r>
              <w:rPr>
                <w:rFonts w:hint="eastAsia" w:ascii="宋体" w:hAnsi="宋体" w:cs="宋体"/>
                <w:sz w:val="18"/>
                <w:szCs w:val="18"/>
                <w:lang w:eastAsia="zh-Hans"/>
              </w:rPr>
              <w:t>客流量实时显示</w:t>
            </w:r>
          </w:p>
        </w:tc>
        <w:tc>
          <w:tcPr>
            <w:tcW w:w="4960" w:type="dxa"/>
            <w:tcBorders>
              <w:right w:val="single" w:color="auto" w:sz="12" w:space="0"/>
            </w:tcBorders>
            <w:shd w:val="clear" w:color="auto" w:fill="auto"/>
            <w:vAlign w:val="center"/>
          </w:tcPr>
          <w:p>
            <w:pPr>
              <w:spacing w:line="240" w:lineRule="exact"/>
              <w:jc w:val="left"/>
              <w:rPr>
                <w:rFonts w:ascii="宋体" w:hAnsi="宋体" w:cs="宋体"/>
                <w:sz w:val="18"/>
                <w:szCs w:val="18"/>
              </w:rPr>
            </w:pPr>
            <w:r>
              <w:rPr>
                <w:rFonts w:hint="eastAsia" w:ascii="宋体" w:hAnsi="宋体" w:cs="宋体"/>
                <w:sz w:val="18"/>
                <w:szCs w:val="18"/>
                <w:lang w:eastAsia="zh-Hans"/>
              </w:rPr>
              <w:t>每日实时人流量，每15分钟更新一次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10" w:type="dxa"/>
            <w:vMerge w:val="continue"/>
            <w:tcBorders>
              <w:left w:val="single" w:color="auto" w:sz="12" w:space="0"/>
            </w:tcBorders>
            <w:shd w:val="clear" w:color="auto" w:fill="auto"/>
            <w:vAlign w:val="center"/>
          </w:tcPr>
          <w:p>
            <w:pPr>
              <w:pStyle w:val="99"/>
              <w:numPr>
                <w:ilvl w:val="0"/>
                <w:numId w:val="0"/>
              </w:numPr>
              <w:jc w:val="center"/>
              <w:rPr>
                <w:sz w:val="18"/>
                <w:szCs w:val="18"/>
              </w:rPr>
            </w:pPr>
          </w:p>
        </w:tc>
        <w:tc>
          <w:tcPr>
            <w:tcW w:w="1452" w:type="dxa"/>
            <w:vMerge w:val="continue"/>
            <w:shd w:val="clear" w:color="auto" w:fill="auto"/>
            <w:vAlign w:val="center"/>
          </w:tcPr>
          <w:p>
            <w:pPr>
              <w:pStyle w:val="99"/>
              <w:numPr>
                <w:ilvl w:val="0"/>
                <w:numId w:val="0"/>
              </w:numPr>
              <w:jc w:val="center"/>
              <w:rPr>
                <w:sz w:val="18"/>
                <w:szCs w:val="18"/>
              </w:rPr>
            </w:pPr>
          </w:p>
        </w:tc>
        <w:tc>
          <w:tcPr>
            <w:tcW w:w="2234" w:type="dxa"/>
            <w:shd w:val="clear" w:color="auto" w:fill="auto"/>
            <w:vAlign w:val="center"/>
          </w:tcPr>
          <w:p>
            <w:pPr>
              <w:jc w:val="center"/>
              <w:rPr>
                <w:rFonts w:ascii="宋体" w:hAnsi="宋体" w:cs="宋体"/>
                <w:sz w:val="18"/>
                <w:szCs w:val="18"/>
                <w:lang w:eastAsia="zh-Hans"/>
              </w:rPr>
            </w:pPr>
            <w:r>
              <w:rPr>
                <w:rFonts w:hint="eastAsia" w:ascii="宋体" w:hAnsi="宋体" w:cs="宋体"/>
                <w:sz w:val="18"/>
                <w:szCs w:val="18"/>
                <w:lang w:eastAsia="zh-Hans"/>
              </w:rPr>
              <w:t>气味数据及空气品质实时在线显示</w:t>
            </w:r>
          </w:p>
        </w:tc>
        <w:tc>
          <w:tcPr>
            <w:tcW w:w="4960" w:type="dxa"/>
            <w:tcBorders>
              <w:right w:val="single" w:color="auto" w:sz="12" w:space="0"/>
            </w:tcBorders>
            <w:shd w:val="clear" w:color="auto" w:fill="auto"/>
            <w:vAlign w:val="center"/>
          </w:tcPr>
          <w:p>
            <w:pPr>
              <w:spacing w:line="240" w:lineRule="exact"/>
              <w:jc w:val="left"/>
              <w:rPr>
                <w:rFonts w:ascii="宋体" w:hAnsi="宋体" w:cs="宋体"/>
                <w:sz w:val="18"/>
                <w:szCs w:val="18"/>
              </w:rPr>
            </w:pPr>
            <w:r>
              <w:rPr>
                <w:rFonts w:hint="eastAsia" w:ascii="宋体" w:hAnsi="宋体" w:cs="宋体"/>
                <w:sz w:val="18"/>
                <w:szCs w:val="18"/>
                <w:lang w:eastAsia="zh-Hans"/>
              </w:rPr>
              <w:t>空气数据15秒钟更新一次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10" w:type="dxa"/>
            <w:vMerge w:val="continue"/>
            <w:tcBorders>
              <w:left w:val="single" w:color="auto" w:sz="12" w:space="0"/>
            </w:tcBorders>
            <w:shd w:val="clear" w:color="auto" w:fill="auto"/>
            <w:vAlign w:val="center"/>
          </w:tcPr>
          <w:p>
            <w:pPr>
              <w:pStyle w:val="99"/>
              <w:numPr>
                <w:ilvl w:val="0"/>
                <w:numId w:val="0"/>
              </w:numPr>
              <w:jc w:val="center"/>
              <w:rPr>
                <w:sz w:val="18"/>
                <w:szCs w:val="18"/>
              </w:rPr>
            </w:pPr>
          </w:p>
        </w:tc>
        <w:tc>
          <w:tcPr>
            <w:tcW w:w="1452" w:type="dxa"/>
            <w:vMerge w:val="continue"/>
            <w:shd w:val="clear" w:color="auto" w:fill="auto"/>
            <w:vAlign w:val="center"/>
          </w:tcPr>
          <w:p>
            <w:pPr>
              <w:pStyle w:val="99"/>
              <w:numPr>
                <w:ilvl w:val="0"/>
                <w:numId w:val="0"/>
              </w:numPr>
              <w:jc w:val="center"/>
              <w:rPr>
                <w:sz w:val="18"/>
                <w:szCs w:val="18"/>
              </w:rPr>
            </w:pPr>
          </w:p>
        </w:tc>
        <w:tc>
          <w:tcPr>
            <w:tcW w:w="2234" w:type="dxa"/>
            <w:shd w:val="clear" w:color="auto" w:fill="auto"/>
            <w:vAlign w:val="center"/>
          </w:tcPr>
          <w:p>
            <w:pPr>
              <w:jc w:val="center"/>
              <w:rPr>
                <w:rFonts w:ascii="宋体" w:hAnsi="宋体" w:cs="宋体"/>
                <w:sz w:val="18"/>
                <w:szCs w:val="18"/>
                <w:lang w:eastAsia="zh-Hans"/>
              </w:rPr>
            </w:pPr>
            <w:r>
              <w:rPr>
                <w:rFonts w:hint="eastAsia" w:ascii="宋体" w:hAnsi="宋体" w:cs="宋体"/>
                <w:sz w:val="18"/>
                <w:szCs w:val="18"/>
                <w:lang w:eastAsia="zh-Hans"/>
              </w:rPr>
              <w:t>日期、天气等便民信息显示</w:t>
            </w:r>
          </w:p>
        </w:tc>
        <w:tc>
          <w:tcPr>
            <w:tcW w:w="4960" w:type="dxa"/>
            <w:tcBorders>
              <w:right w:val="single" w:color="auto" w:sz="12" w:space="0"/>
            </w:tcBorders>
            <w:shd w:val="clear" w:color="auto" w:fill="auto"/>
            <w:vAlign w:val="center"/>
          </w:tcPr>
          <w:p>
            <w:pPr>
              <w:spacing w:line="240" w:lineRule="exact"/>
              <w:jc w:val="left"/>
              <w:rPr>
                <w:rFonts w:ascii="宋体" w:hAnsi="宋体" w:cs="宋体"/>
                <w:sz w:val="18"/>
                <w:szCs w:val="18"/>
              </w:rPr>
            </w:pPr>
            <w:r>
              <w:rPr>
                <w:rFonts w:hint="eastAsia" w:ascii="宋体" w:hAnsi="宋体" w:cs="宋体"/>
                <w:sz w:val="18"/>
                <w:szCs w:val="18"/>
                <w:lang w:eastAsia="zh-Hans"/>
              </w:rPr>
              <w:t>日期：年月日、时分秒、星期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10" w:type="dxa"/>
            <w:vMerge w:val="continue"/>
            <w:tcBorders>
              <w:left w:val="single" w:color="auto" w:sz="12" w:space="0"/>
              <w:bottom w:val="single" w:color="auto" w:sz="12" w:space="0"/>
            </w:tcBorders>
            <w:shd w:val="clear" w:color="auto" w:fill="auto"/>
            <w:vAlign w:val="center"/>
          </w:tcPr>
          <w:p>
            <w:pPr>
              <w:pStyle w:val="99"/>
              <w:numPr>
                <w:ilvl w:val="0"/>
                <w:numId w:val="0"/>
              </w:numPr>
              <w:jc w:val="center"/>
              <w:rPr>
                <w:sz w:val="18"/>
                <w:szCs w:val="18"/>
              </w:rPr>
            </w:pPr>
          </w:p>
        </w:tc>
        <w:tc>
          <w:tcPr>
            <w:tcW w:w="1452" w:type="dxa"/>
            <w:vMerge w:val="continue"/>
            <w:tcBorders>
              <w:bottom w:val="single" w:color="auto" w:sz="12" w:space="0"/>
            </w:tcBorders>
            <w:shd w:val="clear" w:color="auto" w:fill="auto"/>
            <w:vAlign w:val="center"/>
          </w:tcPr>
          <w:p>
            <w:pPr>
              <w:pStyle w:val="99"/>
              <w:numPr>
                <w:ilvl w:val="0"/>
                <w:numId w:val="0"/>
              </w:numPr>
              <w:jc w:val="center"/>
              <w:rPr>
                <w:sz w:val="18"/>
                <w:szCs w:val="18"/>
              </w:rPr>
            </w:pPr>
          </w:p>
        </w:tc>
        <w:tc>
          <w:tcPr>
            <w:tcW w:w="2234" w:type="dxa"/>
            <w:tcBorders>
              <w:bottom w:val="single" w:color="auto" w:sz="12" w:space="0"/>
            </w:tcBorders>
            <w:shd w:val="clear" w:color="auto" w:fill="auto"/>
            <w:vAlign w:val="center"/>
          </w:tcPr>
          <w:p>
            <w:pPr>
              <w:spacing w:line="240" w:lineRule="exact"/>
              <w:jc w:val="center"/>
              <w:rPr>
                <w:rFonts w:ascii="宋体" w:hAnsi="宋体"/>
                <w:sz w:val="18"/>
                <w:szCs w:val="18"/>
              </w:rPr>
            </w:pPr>
            <w:r>
              <w:rPr>
                <w:rFonts w:hint="eastAsia" w:ascii="宋体" w:hAnsi="宋体" w:cs="宋体"/>
                <w:sz w:val="18"/>
                <w:szCs w:val="18"/>
              </w:rPr>
              <w:t>政府宣导或商业运营的图片或视频</w:t>
            </w:r>
          </w:p>
        </w:tc>
        <w:tc>
          <w:tcPr>
            <w:tcW w:w="4960" w:type="dxa"/>
            <w:tcBorders>
              <w:bottom w:val="single" w:color="auto" w:sz="12" w:space="0"/>
              <w:right w:val="single" w:color="auto" w:sz="12" w:space="0"/>
            </w:tcBorders>
            <w:shd w:val="clear" w:color="auto" w:fill="auto"/>
            <w:vAlign w:val="center"/>
          </w:tcPr>
          <w:p>
            <w:pPr>
              <w:rPr>
                <w:rFonts w:ascii="宋体" w:hAnsi="宋体" w:cs="宋体"/>
                <w:sz w:val="18"/>
                <w:szCs w:val="18"/>
              </w:rPr>
            </w:pPr>
            <w:r>
              <w:rPr>
                <w:rFonts w:hint="eastAsia" w:ascii="宋体" w:hAnsi="宋体" w:cs="宋体"/>
                <w:sz w:val="18"/>
                <w:szCs w:val="18"/>
                <w:lang w:eastAsia="zh-Hans"/>
              </w:rPr>
              <w:t>可支持：文件（PDF、PPT）、视频（视频容量300</w:t>
            </w:r>
            <w:r>
              <w:rPr>
                <w:rFonts w:hint="eastAsia" w:ascii="MS Gothic" w:hAnsi="MS Gothic" w:eastAsia="MS Gothic" w:cs="MS Gothic"/>
                <w:sz w:val="18"/>
                <w:szCs w:val="18"/>
                <w:lang w:eastAsia="zh-Hans"/>
              </w:rPr>
              <w:t> </w:t>
            </w:r>
            <w:r>
              <w:rPr>
                <w:rFonts w:hint="eastAsia" w:ascii="宋体" w:hAnsi="宋体" w:cs="宋体"/>
                <w:sz w:val="18"/>
                <w:szCs w:val="18"/>
                <w:lang w:eastAsia="zh-Hans"/>
              </w:rPr>
              <w:t>M，可同时播放10部）、音乐（MP3、可叠加播放）、字幕（无文字限制、位置可调节）、图片（PNG、JPG，格式：1920</w:t>
            </w:r>
            <w:r>
              <w:rPr>
                <w:rFonts w:hint="eastAsia" w:ascii="MS Gothic" w:hAnsi="MS Gothic" w:eastAsia="MS Gothic" w:cs="MS Gothic"/>
                <w:sz w:val="18"/>
                <w:szCs w:val="18"/>
                <w:lang w:eastAsia="zh-Hans"/>
              </w:rPr>
              <w:t> </w:t>
            </w:r>
            <w:r>
              <w:rPr>
                <w:rFonts w:hint="eastAsia" w:ascii="宋体" w:hAnsi="宋体" w:cs="宋体"/>
                <w:sz w:val="18"/>
                <w:szCs w:val="18"/>
                <w:lang w:eastAsia="zh-Hans"/>
              </w:rPr>
              <w:t>PX×600</w:t>
            </w:r>
            <w:r>
              <w:rPr>
                <w:rFonts w:hint="eastAsia" w:ascii="MS Gothic" w:hAnsi="MS Gothic" w:eastAsia="MS Gothic" w:cs="MS Gothic"/>
                <w:sz w:val="18"/>
                <w:szCs w:val="18"/>
                <w:lang w:eastAsia="zh-Hans"/>
              </w:rPr>
              <w:t> </w:t>
            </w:r>
            <w:r>
              <w:rPr>
                <w:rFonts w:hint="eastAsia" w:ascii="宋体" w:hAnsi="宋体" w:cs="宋体"/>
                <w:sz w:val="18"/>
                <w:szCs w:val="18"/>
                <w:lang w:eastAsia="zh-Hans"/>
              </w:rPr>
              <w:t>PX）</w:t>
            </w:r>
            <w:r>
              <w:rPr>
                <w:rFonts w:hint="eastAsia" w:ascii="宋体" w:hAnsi="宋体" w:cs="宋体"/>
                <w:sz w:val="18"/>
                <w:szCs w:val="18"/>
              </w:rPr>
              <w:t>，</w:t>
            </w:r>
            <w:r>
              <w:rPr>
                <w:rFonts w:hint="eastAsia" w:ascii="宋体" w:hAnsi="宋体" w:cs="宋体"/>
                <w:sz w:val="18"/>
                <w:szCs w:val="18"/>
                <w:lang w:eastAsia="zh-Hans"/>
              </w:rPr>
              <w:t>图片</w:t>
            </w:r>
            <w:r>
              <w:rPr>
                <w:rFonts w:hint="eastAsia" w:ascii="宋体" w:hAnsi="宋体" w:cs="宋体"/>
                <w:sz w:val="18"/>
                <w:szCs w:val="18"/>
              </w:rPr>
              <w:t>、</w:t>
            </w:r>
            <w:r>
              <w:rPr>
                <w:rFonts w:hint="eastAsia" w:ascii="宋体" w:hAnsi="宋体" w:cs="宋体"/>
                <w:sz w:val="18"/>
                <w:szCs w:val="18"/>
                <w:lang w:eastAsia="zh-Hans"/>
              </w:rPr>
              <w:t>视频</w:t>
            </w:r>
            <w:r>
              <w:rPr>
                <w:rFonts w:hint="eastAsia" w:ascii="宋体" w:hAnsi="宋体" w:cs="宋体"/>
                <w:sz w:val="18"/>
                <w:szCs w:val="18"/>
              </w:rPr>
              <w:t>、</w:t>
            </w:r>
            <w:r>
              <w:rPr>
                <w:rFonts w:hint="eastAsia" w:ascii="宋体" w:hAnsi="宋体" w:cs="宋体"/>
                <w:sz w:val="18"/>
                <w:szCs w:val="18"/>
                <w:lang w:eastAsia="zh-Hans"/>
              </w:rPr>
              <w:t>音乐等可轮播</w:t>
            </w:r>
          </w:p>
        </w:tc>
      </w:tr>
    </w:tbl>
    <w:p>
      <w:pPr>
        <w:pStyle w:val="21"/>
      </w:pPr>
    </w:p>
    <w:bookmarkEnd w:id="102"/>
    <w:bookmarkEnd w:id="103"/>
    <w:p>
      <w:pPr>
        <w:pStyle w:val="93"/>
      </w:pPr>
    </w:p>
    <w:p>
      <w:pPr>
        <w:pStyle w:val="81"/>
      </w:pPr>
    </w:p>
    <w:p>
      <w:pPr>
        <w:pStyle w:val="79"/>
      </w:pPr>
      <w:r>
        <w:br w:type="textWrapping"/>
      </w:r>
      <w:bookmarkStart w:id="173" w:name="_Toc129092916"/>
      <w:bookmarkStart w:id="174" w:name="_Toc129093100"/>
      <w:bookmarkStart w:id="175" w:name="_Toc117168612"/>
      <w:bookmarkStart w:id="176" w:name="_Toc116553094"/>
      <w:r>
        <w:rPr>
          <w:rFonts w:hint="eastAsia"/>
        </w:rPr>
        <w:t>（规范性）</w:t>
      </w:r>
      <w:r>
        <w:br w:type="textWrapping"/>
      </w:r>
      <w:r>
        <w:rPr>
          <w:rFonts w:hint="eastAsia"/>
        </w:rPr>
        <w:t>驿站标志标牌</w:t>
      </w:r>
      <w:bookmarkEnd w:id="173"/>
      <w:bookmarkEnd w:id="174"/>
      <w:bookmarkEnd w:id="175"/>
      <w:bookmarkEnd w:id="176"/>
    </w:p>
    <w:p>
      <w:pPr>
        <w:pStyle w:val="97"/>
        <w:spacing w:before="156" w:beforeLines="50" w:after="156" w:afterLines="50"/>
      </w:pPr>
      <w:r>
        <w:rPr>
          <w:rFonts w:hint="eastAsia"/>
        </w:rPr>
        <w:t>通用要求</w:t>
      </w:r>
    </w:p>
    <w:p>
      <w:pPr>
        <w:pStyle w:val="21"/>
      </w:pPr>
      <w:r>
        <w:rPr>
          <w:rFonts w:hint="eastAsia"/>
        </w:rPr>
        <w:t>驿站标识标牌的设计和布置应符合GB/T 10001.1和CJJ 14—2016中4.3.9的规定。</w:t>
      </w:r>
    </w:p>
    <w:p>
      <w:pPr>
        <w:pStyle w:val="97"/>
        <w:spacing w:before="156" w:beforeLines="50" w:after="156" w:afterLines="50"/>
      </w:pPr>
      <w:r>
        <w:rPr>
          <w:rFonts w:hint="eastAsia"/>
        </w:rPr>
        <w:t>驿站主标志</w:t>
      </w:r>
    </w:p>
    <w:p>
      <w:pPr>
        <w:pStyle w:val="99"/>
      </w:pPr>
      <w:r>
        <w:rPr>
          <w:rFonts w:hint="eastAsia"/>
        </w:rPr>
        <w:t>驿站的主标志由图形和文字两部分组成，应符合图1的规定。</w:t>
      </w:r>
    </w:p>
    <w:p>
      <w:pPr>
        <w:pStyle w:val="21"/>
      </w:pPr>
    </w:p>
    <w:p>
      <w:pPr>
        <w:pStyle w:val="21"/>
        <w:ind w:firstLine="0" w:firstLineChars="0"/>
        <w:jc w:val="center"/>
      </w:pPr>
      <w:r>
        <w:drawing>
          <wp:inline distT="0" distB="0" distL="0" distR="0">
            <wp:extent cx="2369185" cy="842645"/>
            <wp:effectExtent l="0" t="0" r="0" b="0"/>
            <wp:docPr id="1" name="图片 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46"/>
                    <pic:cNvPicPr>
                      <a:picLocks noChangeAspect="true" noChangeArrowheads="true"/>
                    </pic:cNvPicPr>
                  </pic:nvPicPr>
                  <pic:blipFill>
                    <a:blip r:embed="rId17">
                      <a:extLst>
                        <a:ext uri="{28A0092B-C50C-407E-A947-70E740481C1C}">
                          <a14:useLocalDpi xmlns:a14="http://schemas.microsoft.com/office/drawing/2010/main" val="false"/>
                        </a:ext>
                      </a:extLst>
                    </a:blip>
                    <a:srcRect/>
                    <a:stretch>
                      <a:fillRect/>
                    </a:stretch>
                  </pic:blipFill>
                  <pic:spPr>
                    <a:xfrm>
                      <a:off x="0" y="0"/>
                      <a:ext cx="2369185" cy="842645"/>
                    </a:xfrm>
                    <a:prstGeom prst="rect">
                      <a:avLst/>
                    </a:prstGeom>
                    <a:noFill/>
                    <a:ln>
                      <a:noFill/>
                    </a:ln>
                  </pic:spPr>
                </pic:pic>
              </a:graphicData>
            </a:graphic>
          </wp:inline>
        </w:drawing>
      </w:r>
    </w:p>
    <w:p>
      <w:pPr>
        <w:pStyle w:val="94"/>
        <w:spacing w:before="156" w:after="156"/>
      </w:pPr>
      <w:r>
        <w:rPr>
          <w:rFonts w:hint="eastAsia"/>
        </w:rPr>
        <w:t>驿站主标识</w:t>
      </w:r>
    </w:p>
    <w:p>
      <w:pPr>
        <w:pStyle w:val="99"/>
        <w:numPr>
          <w:ilvl w:val="0"/>
          <w:numId w:val="0"/>
        </w:numPr>
        <w:ind w:firstLine="420" w:firstLineChars="200"/>
      </w:pPr>
      <w:r>
        <w:rPr>
          <w:rFonts w:hint="eastAsia"/>
        </w:rPr>
        <w:t>主标志中，左侧为驿站图形（logo），右侧为驿站文字。特殊情况下可上下分布，即：上方为驿站图形（logo），下方为驿站文字。</w:t>
      </w:r>
    </w:p>
    <w:p>
      <w:pPr>
        <w:pStyle w:val="99"/>
      </w:pPr>
      <w:r>
        <w:rPr>
          <w:rFonts w:hint="eastAsia"/>
        </w:rPr>
        <w:t>主标志的设计应符合以下规定：</w:t>
      </w:r>
    </w:p>
    <w:p>
      <w:pPr>
        <w:pStyle w:val="54"/>
        <w:numPr>
          <w:ilvl w:val="0"/>
          <w:numId w:val="14"/>
        </w:numPr>
      </w:pPr>
      <w:r>
        <w:rPr>
          <w:rFonts w:hint="eastAsia"/>
        </w:rPr>
        <w:t>底版材质为304不锈钢，采用激光切割、焊接成型制作，并使用氟碳烤漆，颜色为高级灰；</w:t>
      </w:r>
    </w:p>
    <w:p>
      <w:pPr>
        <w:pStyle w:val="54"/>
        <w:numPr>
          <w:ilvl w:val="0"/>
          <w:numId w:val="14"/>
        </w:numPr>
      </w:pPr>
      <w:r>
        <w:rPr>
          <w:rFonts w:hint="eastAsia"/>
        </w:rPr>
        <w:t>图标、文字及符号采用镂空设计，背衬乳白亚克力，内置蓄光品；</w:t>
      </w:r>
    </w:p>
    <w:p>
      <w:pPr>
        <w:pStyle w:val="54"/>
        <w:numPr>
          <w:ilvl w:val="0"/>
          <w:numId w:val="14"/>
        </w:numPr>
      </w:pPr>
      <w:r>
        <w:rPr>
          <w:rFonts w:hint="eastAsia"/>
        </w:rPr>
        <w:t>中英文字体选用汉仪中宋简体。</w:t>
      </w:r>
    </w:p>
    <w:p>
      <w:pPr>
        <w:pStyle w:val="97"/>
        <w:spacing w:before="156" w:beforeLines="50" w:after="156" w:afterLines="50"/>
      </w:pPr>
      <w:r>
        <w:rPr>
          <w:rFonts w:hint="eastAsia"/>
        </w:rPr>
        <w:t>标牌分类</w:t>
      </w:r>
    </w:p>
    <w:p>
      <w:pPr>
        <w:pStyle w:val="21"/>
      </w:pPr>
      <w:r>
        <w:rPr>
          <w:rFonts w:hint="eastAsia"/>
        </w:rPr>
        <w:t>驿站标牌根据功能不同，分为：</w:t>
      </w:r>
    </w:p>
    <w:p>
      <w:pPr>
        <w:pStyle w:val="54"/>
        <w:numPr>
          <w:ilvl w:val="0"/>
          <w:numId w:val="15"/>
        </w:numPr>
      </w:pPr>
      <w:r>
        <w:rPr>
          <w:rFonts w:hint="eastAsia"/>
        </w:rPr>
        <w:t>标识牌：包括公厕标识、导向指引、功能标识等；</w:t>
      </w:r>
    </w:p>
    <w:p>
      <w:pPr>
        <w:pStyle w:val="54"/>
        <w:numPr>
          <w:ilvl w:val="0"/>
          <w:numId w:val="15"/>
        </w:numPr>
      </w:pPr>
      <w:r>
        <w:rPr>
          <w:rFonts w:hint="eastAsia"/>
        </w:rPr>
        <w:t>公示牌：包括管理制度、党建公示、保洁标准、如厕须知、提醒警示、服务评价等。</w:t>
      </w:r>
    </w:p>
    <w:p>
      <w:pPr>
        <w:pStyle w:val="54"/>
        <w:numPr>
          <w:ilvl w:val="0"/>
          <w:numId w:val="15"/>
        </w:numPr>
      </w:pPr>
      <w:r>
        <w:rPr>
          <w:rFonts w:hint="eastAsia"/>
        </w:rPr>
        <w:t>宣传牌：包括公益宣传、户外广告等。</w:t>
      </w:r>
    </w:p>
    <w:p>
      <w:pPr>
        <w:pStyle w:val="97"/>
        <w:spacing w:before="156" w:beforeLines="50" w:after="156" w:afterLines="50"/>
      </w:pPr>
      <w:r>
        <w:rPr>
          <w:rFonts w:hint="eastAsia"/>
        </w:rPr>
        <w:t>驿站标识牌</w:t>
      </w:r>
    </w:p>
    <w:p>
      <w:pPr>
        <w:pStyle w:val="21"/>
      </w:pPr>
      <w:r>
        <w:rPr>
          <w:rFonts w:hint="eastAsia"/>
        </w:rPr>
        <w:t>驿站标识牌的设计及设置应符合表A.1的规定。</w:t>
      </w:r>
    </w:p>
    <w:p>
      <w:pPr>
        <w:pStyle w:val="97"/>
        <w:spacing w:before="156" w:beforeLines="50" w:after="156" w:afterLines="50"/>
      </w:pPr>
      <w:r>
        <w:rPr>
          <w:rFonts w:hint="eastAsia"/>
        </w:rPr>
        <w:t>驿站公式牌</w:t>
      </w:r>
    </w:p>
    <w:p>
      <w:pPr>
        <w:pStyle w:val="21"/>
      </w:pPr>
      <w:r>
        <w:rPr>
          <w:rFonts w:hint="eastAsia"/>
        </w:rPr>
        <w:t>驿站公式牌的设计及设置应符合表A.2的规定。</w:t>
      </w:r>
    </w:p>
    <w:p>
      <w:pPr>
        <w:pStyle w:val="97"/>
        <w:spacing w:before="156" w:beforeLines="50" w:after="156" w:afterLines="50"/>
      </w:pPr>
      <w:r>
        <w:rPr>
          <w:rFonts w:hint="eastAsia"/>
        </w:rPr>
        <w:t>驿站宣传牌</w:t>
      </w:r>
    </w:p>
    <w:p>
      <w:pPr>
        <w:pStyle w:val="21"/>
      </w:pPr>
      <w:r>
        <w:rPr>
          <w:rFonts w:hint="eastAsia"/>
        </w:rPr>
        <w:t>驿站宣传牌的设计及设置应符合表A.3的规定。</w:t>
      </w:r>
    </w:p>
    <w:p>
      <w:pPr>
        <w:pStyle w:val="21"/>
      </w:pPr>
    </w:p>
    <w:p>
      <w:pPr>
        <w:pStyle w:val="21"/>
      </w:pPr>
    </w:p>
    <w:p>
      <w:pPr>
        <w:pStyle w:val="21"/>
        <w:sectPr>
          <w:pgSz w:w="11906" w:h="16838"/>
          <w:pgMar w:top="567" w:right="1134" w:bottom="1134" w:left="1417" w:header="1418" w:footer="1134" w:gutter="0"/>
          <w:pgNumType w:start="1"/>
          <w:cols w:space="425" w:num="1"/>
          <w:formProt w:val="0"/>
          <w:docGrid w:type="lines" w:linePitch="312" w:charSpace="0"/>
        </w:sectPr>
      </w:pPr>
    </w:p>
    <w:p>
      <w:pPr>
        <w:pStyle w:val="82"/>
        <w:spacing w:before="156" w:after="156"/>
        <w:ind w:left="0" w:right="840" w:rightChars="400" w:firstLine="0"/>
      </w:pPr>
      <w:r>
        <w:rPr>
          <w:rFonts w:hint="eastAsia"/>
        </w:rPr>
        <w:t>驿站标识牌</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3685"/>
        <w:gridCol w:w="5812"/>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2" w:type="dxa"/>
            <w:shd w:val="clear" w:color="auto" w:fill="auto"/>
            <w:vAlign w:val="center"/>
          </w:tcPr>
          <w:p>
            <w:pPr>
              <w:pStyle w:val="21"/>
              <w:ind w:firstLine="0" w:firstLineChars="0"/>
              <w:jc w:val="center"/>
              <w:rPr>
                <w:sz w:val="18"/>
                <w:szCs w:val="18"/>
              </w:rPr>
            </w:pPr>
            <w:r>
              <w:rPr>
                <w:rFonts w:hint="eastAsia"/>
                <w:sz w:val="18"/>
                <w:szCs w:val="18"/>
              </w:rPr>
              <w:t>种类</w:t>
            </w:r>
          </w:p>
        </w:tc>
        <w:tc>
          <w:tcPr>
            <w:tcW w:w="3685" w:type="dxa"/>
            <w:shd w:val="clear" w:color="auto" w:fill="auto"/>
            <w:vAlign w:val="center"/>
          </w:tcPr>
          <w:p>
            <w:pPr>
              <w:pStyle w:val="21"/>
              <w:ind w:firstLine="0" w:firstLineChars="0"/>
              <w:jc w:val="center"/>
              <w:rPr>
                <w:sz w:val="18"/>
                <w:szCs w:val="18"/>
              </w:rPr>
            </w:pPr>
            <w:r>
              <w:rPr>
                <w:rFonts w:hint="eastAsia"/>
                <w:sz w:val="18"/>
                <w:szCs w:val="18"/>
              </w:rPr>
              <w:t>设计要求</w:t>
            </w:r>
          </w:p>
        </w:tc>
        <w:tc>
          <w:tcPr>
            <w:tcW w:w="5812" w:type="dxa"/>
            <w:shd w:val="clear" w:color="auto" w:fill="auto"/>
            <w:vAlign w:val="center"/>
          </w:tcPr>
          <w:p>
            <w:pPr>
              <w:pStyle w:val="21"/>
              <w:ind w:firstLine="0" w:firstLineChars="0"/>
              <w:jc w:val="center"/>
              <w:rPr>
                <w:sz w:val="18"/>
                <w:szCs w:val="18"/>
              </w:rPr>
            </w:pPr>
            <w:r>
              <w:rPr>
                <w:rFonts w:hint="eastAsia"/>
                <w:sz w:val="18"/>
                <w:szCs w:val="18"/>
              </w:rPr>
              <w:t>设计图样</w:t>
            </w:r>
          </w:p>
        </w:tc>
        <w:tc>
          <w:tcPr>
            <w:tcW w:w="2835" w:type="dxa"/>
            <w:shd w:val="clear" w:color="auto" w:fill="auto"/>
            <w:vAlign w:val="center"/>
          </w:tcPr>
          <w:p>
            <w:pPr>
              <w:pStyle w:val="21"/>
              <w:ind w:firstLine="0" w:firstLineChars="0"/>
              <w:jc w:val="center"/>
              <w:rPr>
                <w:sz w:val="18"/>
                <w:szCs w:val="18"/>
              </w:rPr>
            </w:pPr>
            <w:r>
              <w:rPr>
                <w:rFonts w:hint="eastAsia"/>
                <w:sz w:val="18"/>
                <w:szCs w:val="18"/>
              </w:rPr>
              <w:t>设置要求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2" w:type="dxa"/>
            <w:vMerge w:val="restart"/>
            <w:shd w:val="clear" w:color="auto" w:fill="auto"/>
            <w:vAlign w:val="center"/>
          </w:tcPr>
          <w:p>
            <w:pPr>
              <w:pStyle w:val="21"/>
              <w:ind w:firstLine="0" w:firstLineChars="0"/>
              <w:jc w:val="center"/>
              <w:rPr>
                <w:sz w:val="18"/>
                <w:szCs w:val="18"/>
              </w:rPr>
            </w:pPr>
          </w:p>
          <w:p>
            <w:pPr>
              <w:pStyle w:val="21"/>
              <w:ind w:firstLine="0" w:firstLineChars="0"/>
              <w:jc w:val="center"/>
              <w:rPr>
                <w:sz w:val="18"/>
                <w:szCs w:val="18"/>
              </w:rPr>
            </w:pPr>
            <w:r>
              <w:rPr>
                <w:rFonts w:hint="eastAsia"/>
                <w:sz w:val="18"/>
                <w:szCs w:val="18"/>
              </w:rPr>
              <w:t>导向</w:t>
            </w:r>
          </w:p>
          <w:p>
            <w:pPr>
              <w:pStyle w:val="21"/>
              <w:ind w:firstLine="0" w:firstLineChars="0"/>
              <w:jc w:val="center"/>
              <w:rPr>
                <w:sz w:val="18"/>
                <w:szCs w:val="18"/>
              </w:rPr>
            </w:pPr>
            <w:r>
              <w:rPr>
                <w:rFonts w:hint="eastAsia"/>
              </w:rPr>
              <mc:AlternateContent>
                <mc:Choice Requires="wpg">
                  <w:drawing>
                    <wp:anchor distT="0" distB="0" distL="114300" distR="114300" simplePos="0" relativeHeight="251697152" behindDoc="0" locked="0" layoutInCell="1" allowOverlap="1">
                      <wp:simplePos x="0" y="0"/>
                      <wp:positionH relativeFrom="column">
                        <wp:posOffset>-586105</wp:posOffset>
                      </wp:positionH>
                      <wp:positionV relativeFrom="paragraph">
                        <wp:posOffset>3583305</wp:posOffset>
                      </wp:positionV>
                      <wp:extent cx="9252585" cy="1440180"/>
                      <wp:effectExtent l="0" t="0" r="24765" b="26670"/>
                      <wp:wrapNone/>
                      <wp:docPr id="2" name="Group 85"/>
                      <wp:cNvGraphicFramePr/>
                      <a:graphic xmlns:a="http://schemas.openxmlformats.org/drawingml/2006/main">
                        <a:graphicData uri="http://schemas.microsoft.com/office/word/2010/wordprocessingGroup">
                          <wpg:wgp>
                            <wpg:cNvGrpSpPr/>
                            <wpg:grpSpPr>
                              <a:xfrm>
                                <a:off x="0" y="0"/>
                                <a:ext cx="9252585" cy="1440180"/>
                                <a:chOff x="1134" y="1133"/>
                                <a:chExt cx="14571" cy="2268"/>
                              </a:xfrm>
                            </wpg:grpSpPr>
                            <wps:wsp>
                              <wps:cNvPr id="4" name="文本框 22"/>
                              <wps:cNvSpPr txBox="true">
                                <a:spLocks noChangeArrowheads="true"/>
                              </wps:cNvSpPr>
                              <wps:spPr bwMode="auto">
                                <a:xfrm>
                                  <a:off x="1134" y="1355"/>
                                  <a:ext cx="340" cy="1020"/>
                                </a:xfrm>
                                <a:prstGeom prst="rect">
                                  <a:avLst/>
                                </a:prstGeom>
                                <a:solidFill>
                                  <a:srgbClr val="FFFFFF"/>
                                </a:solidFill>
                                <a:ln w="6350">
                                  <a:solidFill>
                                    <a:srgbClr val="FFFFFF"/>
                                  </a:solidFill>
                                  <a:miter lim="800000"/>
                                </a:ln>
                              </wps:spPr>
                              <wps:txbx>
                                <w:txbxContent>
                                  <w:p>
                                    <w:pPr>
                                      <w:jc w:val="left"/>
                                      <w:rPr>
                                        <w:rFonts w:ascii="宋体" w:hAnsi="宋体"/>
                                        <w:sz w:val="18"/>
                                        <w:szCs w:val="18"/>
                                      </w:rPr>
                                    </w:pPr>
                                    <w:r>
                                      <w:rPr>
                                        <w:rFonts w:hint="eastAsia" w:ascii="宋体" w:hAnsi="宋体"/>
                                        <w:sz w:val="18"/>
                                        <w:szCs w:val="18"/>
                                      </w:rPr>
                                      <w:t>19</w:t>
                                    </w:r>
                                  </w:p>
                                </w:txbxContent>
                              </wps:txbx>
                              <wps:bodyPr rot="0" vert="vert" wrap="square" lIns="0" tIns="0" rIns="0" bIns="0" anchor="b" anchorCtr="false" upright="true">
                                <a:noAutofit/>
                              </wps:bodyPr>
                            </wps:wsp>
                            <wps:wsp>
                              <wps:cNvPr id="5" name="文本框 8"/>
                              <wps:cNvSpPr txBox="true">
                                <a:spLocks noChangeArrowheads="true"/>
                              </wps:cNvSpPr>
                              <wps:spPr bwMode="auto">
                                <a:xfrm>
                                  <a:off x="15422" y="1133"/>
                                  <a:ext cx="283" cy="2268"/>
                                </a:xfrm>
                                <a:prstGeom prst="rect">
                                  <a:avLst/>
                                </a:prstGeom>
                                <a:solidFill>
                                  <a:srgbClr val="FFFFFF"/>
                                </a:solidFill>
                                <a:ln w="6350">
                                  <a:solidFill>
                                    <a:srgbClr val="FFFFFF"/>
                                  </a:solidFill>
                                  <a:miter lim="800000"/>
                                </a:ln>
                              </wps:spPr>
                              <wps:txbx>
                                <w:txbxContent>
                                  <w:p>
                                    <w:pPr>
                                      <w:jc w:val="left"/>
                                      <w:rPr>
                                        <w:rFonts w:ascii="黑体" w:hAnsi="黑体" w:eastAsia="黑体"/>
                                        <w:szCs w:val="21"/>
                                      </w:rPr>
                                    </w:pPr>
                                    <w:r>
                                      <w:rPr>
                                        <w:rFonts w:ascii="黑体" w:hAnsi="黑体" w:eastAsia="黑体"/>
                                        <w:szCs w:val="21"/>
                                      </w:rPr>
                                      <w:t>DB</w:t>
                                    </w:r>
                                    <w:r>
                                      <w:rPr>
                                        <w:rFonts w:hint="eastAsia" w:ascii="黑体" w:hAnsi="黑体" w:eastAsia="黑体"/>
                                        <w:szCs w:val="21"/>
                                      </w:rPr>
                                      <w:t>4302/T XXXX—XXXX</w:t>
                                    </w:r>
                                  </w:p>
                                </w:txbxContent>
                              </wps:txbx>
                              <wps:bodyPr rot="0" vert="vert" wrap="square" lIns="0" tIns="0" rIns="0" bIns="0" anchor="t" anchorCtr="false" upright="true">
                                <a:noAutofit/>
                              </wps:bodyPr>
                            </wps:wsp>
                          </wpg:wgp>
                        </a:graphicData>
                      </a:graphic>
                    </wp:anchor>
                  </w:drawing>
                </mc:Choice>
                <mc:Fallback>
                  <w:pict>
                    <v:group id="Group 85" o:spid="_x0000_s1026" o:spt="203" style="position:absolute;left:0pt;margin-left:-46.15pt;margin-top:282.15pt;height:113.4pt;width:728.55pt;z-index:251697152;mso-width-relative:page;mso-height-relative:page;" coordorigin="1134,1133" coordsize="14571,2268" o:gfxdata="UEsFBgAAAAAAAAAAAAAAAAAAAAAAAFBLAwQKAAAAAACHTuJAAAAAAAAAAAAAAAAABAAAAGRycy9Q&#10;SwMEFAAAAAgAh07iQGKWrcncAAAADAEAAA8AAABkcnMvZG93bnJldi54bWxNj8FOwkAQhu8mvsNm&#10;TLzBdilUqd0SQ9QTIRFMjLehHdqG7mzTXVp4e5eT3mYyX/75/mx1Ma0YqHeNZQ1qGoEgLmzZcKXh&#10;a/8+eQbhPHKJrWXScCUHq/z+LsO0tCN/0rDzlQgh7FLUUHvfpVK6oiaDbmo74nA72t6gD2tfybLH&#10;MYSbVs6iKJEGGw4fauxoXVNx2p2Nho8Rx9dYvQ2b03F9/dkvtt8bRVo/PqjoBYSni/+D4aYf1CEP&#10;Tgd75tKJVsNkOYsDqmGRzMNwI+JkHtocNDwtlQKZZ/J/ifwXUEsDBBQAAAAIAIdO4kAQBmEQxgIA&#10;ABAIAAAOAAAAZHJzL2Uyb0RvYy54bWztlc1u1DAQx+9IvIPlO83XpixRs1VpaYVUoFLhARzH+RCO&#10;bWzvJn0BeANOXLjzXH0Oxk6yXRYhQfk4sQevHdt/z/xmxj46HjqONkybVoocRwchRkxQWbaizvGb&#10;1+ePlhgZS0RJuBQsxzfM4OPVwwdHvcpYLBvJS6YRiAiT9SrHjbUqCwJDG9YRcyAVEzBZSd0RC0Nd&#10;B6UmPah3PIjD8DDopS6VlpQZA1/Pxkm88vpVxah9VVWGWcRzDLZZ32rfFq4NVkckqzVRTUsnM8g9&#10;rOhIK+DQrdQZsQStdfudVNdSLY2s7AGVXSCrqqXM+wDeROGeNxdarpX3pc76Wm0xAdo9TveWpS83&#10;Vxq1ZY5jjATpIET+VLRMHZte1RksudDqWl3p6UM9jpy7Q6U79w+OoMFTvdlSZYNFFD4+idM4BTlE&#10;YS5aLMJoOXGnDQTH7YuiZIGRm46SZIwJbZ5N+6NF+jgad8fx4dJNB/PJgTNwa0+vIInMHSfze5yu&#10;G6KYx28chIkTGDpyuv344fbTl9vP71Ecj6z8MgcK2eGpBL+sXjsBkhl1Kelbg4Q8bYio2YnWsm8Y&#10;KcFEv8g55cyHc5yAI29gF0gV/QtZQljI2kqvtcf8jl2S+piRbCafLCDlPfUw9si33EimtLEXTHbI&#10;dXKsoVK8OtlcGjsinpd4ByRvy/OWcz/QdXHKNdoQqKpz/5uiYnaXcYH6HB8maTgy2J0zPyfRtRau&#10;B952OV6G7jedw8XEyyEaYdmhGHyCmqyQ5Q2Q03Isd7ieoONajHoo9Rybd2uiGUb8uYAAuHth7ui5&#10;U8wdImgj4cYoMBq7pxZGFeEGBNZKt3UD6ttIC3kCgapaz9AFcTRmMheyc7T2r6cp1Nt+mvrS2Umy&#10;f5ql6QKq5NsSn9M0XiY/KO//afrLaQo5/ofS1N+t8Oz463Z6It27tjv2aX33kK++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BYAAABkcnMv&#10;UEsBAhQAFAAAAAgAh07iQGKWrcncAAAADAEAAA8AAAAAAAAAAQAgAAAAOAAAAGRycy9kb3ducmV2&#10;LnhtbFBLAQIUABQAAAAIAIdO4kAQBmEQxgIAABAIAAAOAAAAAAAAAAEAIAAAAEEBAABkcnMvZTJv&#10;RG9jLnhtbFBLBQYAAAAABgAGAFkBAAB5BgAAAAA=&#10;">
                      <o:lock v:ext="edit" aspectratio="f"/>
                      <v:shape id="文本框 22" o:spid="_x0000_s1026" o:spt="202" type="#_x0000_t202" style="position:absolute;left:1134;top:1355;height:1020;width:340;v-text-anchor:bottom;" fillcolor="#FFFFFF" filled="t" stroked="t" coordsize="21600,21600" o:gfxdata="UEsFBgAAAAAAAAAAAAAAAAAAAAAAAFBLAwQKAAAAAACHTuJAAAAAAAAAAAAAAAAABAAAAGRycy9Q&#10;SwMEFAAAAAgAh07iQNjXwU67AAAA2gAAAA8AAABkcnMvZG93bnJldi54bWxFj0+LwjAUxO8Lfofw&#10;BC+LphVZpRo9CKIHUezuQW+P5tkUm5fSxH/f3gjCHoeZ+Q0zWzxsLW7U+sqxgnSQgCAunK64VPD3&#10;u+pPQPiArLF2TAqe5GEx73zNMNPuzge65aEUEcI+QwUmhCaT0heGLPqBa4ijd3atxRBlW0rd4j3C&#10;bS2HSfIjLVYcFww2tDRUXPKrVfBtDsedDn6NJt2f7HE7ftb5WKleN02mIAI9wn/4095oBSN4X4k3&#10;QM5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jXwU67AAAA2gAAAA8AAAAAAAAAAQAgAAAAOAAAAGRycy9kb3ducmV2Lnht&#10;bFBLAQIUABQAAAAIAIdO4kAzLwWeOwAAADkAAAAQAAAAAAAAAAEAIAAAACABAABkcnMvc2hhcGV4&#10;bWwueG1sUEsFBgAAAAAGAAYAWwEAAMoDAAAAAA==&#10;">
                        <v:fill on="t" focussize="0,0"/>
                        <v:stroke weight="0.5pt" color="#FFFFFF" miterlimit="8" joinstyle="miter"/>
                        <v:imagedata o:title=""/>
                        <o:lock v:ext="edit" aspectratio="f"/>
                        <v:textbox inset="0mm,0mm,0mm,0mm" style="layout-flow:vertical;">
                          <w:txbxContent>
                            <w:p>
                              <w:pPr>
                                <w:jc w:val="left"/>
                                <w:rPr>
                                  <w:rFonts w:ascii="宋体" w:hAnsi="宋体"/>
                                  <w:sz w:val="18"/>
                                  <w:szCs w:val="18"/>
                                </w:rPr>
                              </w:pPr>
                              <w:r>
                                <w:rPr>
                                  <w:rFonts w:hint="eastAsia" w:ascii="宋体" w:hAnsi="宋体"/>
                                  <w:sz w:val="18"/>
                                  <w:szCs w:val="18"/>
                                </w:rPr>
                                <w:t>19</w:t>
                              </w:r>
                            </w:p>
                          </w:txbxContent>
                        </v:textbox>
                      </v:shape>
                      <v:shape id="文本框 8" o:spid="_x0000_s1026" o:spt="202" type="#_x0000_t202" style="position:absolute;left:15422;top:1133;height:2268;width:283;" fillcolor="#FFFFFF" filled="t" stroked="t" coordsize="21600,21600" o:gfxdata="UEsFBgAAAAAAAAAAAAAAAAAAAAAAAFBLAwQKAAAAAACHTuJAAAAAAAAAAAAAAAAABAAAAGRycy9Q&#10;SwMEFAAAAAgAh07iQDjdklW8AAAA2gAAAA8AAABkcnMvZG93bnJldi54bWxFj81uwjAQhO9IvIO1&#10;lbiBA6IFpRgErZDaYxMu3LbxNokSr4Pt8PP2NRISx9HMfKNZba6mFWdyvrasYDpJQBAXVtdcKjjk&#10;+/EShA/IGlvLpOBGHjbr4WCFqbYX/qFzFkoRIexTVFCF0KVS+qIig35iO+Lo/VlnMETpSqkdXiLc&#10;tHKWJG/SYM1xocKOPioqmqw3CuZN/93jaTvb67zpd7fj7yL7dEqNXqbJO4hA1/AMP9pfWsEr3K/E&#10;GyD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43ZJVvAAAANoAAAAPAAAAAAAAAAEAIAAAADgAAABkcnMvZG93bnJldi54&#10;bWxQSwECFAAUAAAACACHTuJAMy8FnjsAAAA5AAAAEAAAAAAAAAABACAAAAAhAQAAZHJzL3NoYXBl&#10;eG1sLnhtbFBLBQYAAAAABgAGAFsBAADLAwAAAAA=&#10;">
                        <v:fill on="t" focussize="0,0"/>
                        <v:stroke weight="0.5pt" color="#FFFFFF" miterlimit="8" joinstyle="miter"/>
                        <v:imagedata o:title=""/>
                        <o:lock v:ext="edit" aspectratio="f"/>
                        <v:textbox inset="0mm,0mm,0mm,0mm" style="layout-flow:vertical;">
                          <w:txbxContent>
                            <w:p>
                              <w:pPr>
                                <w:jc w:val="left"/>
                                <w:rPr>
                                  <w:rFonts w:ascii="黑体" w:hAnsi="黑体" w:eastAsia="黑体"/>
                                  <w:szCs w:val="21"/>
                                </w:rPr>
                              </w:pPr>
                              <w:r>
                                <w:rPr>
                                  <w:rFonts w:ascii="黑体" w:hAnsi="黑体" w:eastAsia="黑体"/>
                                  <w:szCs w:val="21"/>
                                </w:rPr>
                                <w:t>DB</w:t>
                              </w:r>
                              <w:r>
                                <w:rPr>
                                  <w:rFonts w:hint="eastAsia" w:ascii="黑体" w:hAnsi="黑体" w:eastAsia="黑体"/>
                                  <w:szCs w:val="21"/>
                                </w:rPr>
                                <w:t>4302/T XXXX—XXXX</w:t>
                              </w:r>
                            </w:p>
                          </w:txbxContent>
                        </v:textbox>
                      </v:shape>
                    </v:group>
                  </w:pict>
                </mc:Fallback>
              </mc:AlternateContent>
            </w:r>
            <w:r>
              <w:rPr>
                <w:rFonts w:hint="eastAsia"/>
                <w:sz w:val="18"/>
                <w:szCs w:val="18"/>
              </w:rPr>
              <w:t>指引牌</w:t>
            </w:r>
          </w:p>
        </w:tc>
        <w:tc>
          <w:tcPr>
            <w:tcW w:w="3685" w:type="dxa"/>
            <w:shd w:val="clear" w:color="auto" w:fill="auto"/>
            <w:vAlign w:val="center"/>
          </w:tcPr>
          <w:p>
            <w:pPr>
              <w:pStyle w:val="21"/>
              <w:spacing w:before="62" w:beforeLines="20" w:after="62" w:afterLines="20"/>
              <w:ind w:firstLine="0" w:firstLineChars="0"/>
              <w:rPr>
                <w:sz w:val="18"/>
                <w:szCs w:val="18"/>
              </w:rPr>
            </w:pPr>
            <w:r>
              <w:rPr>
                <w:rFonts w:hint="eastAsia"/>
                <w:sz w:val="18"/>
                <w:szCs w:val="18"/>
              </w:rPr>
              <w:t>1.主标识牌内容由“驿站主标识”和“‘公共卫生间’字样及标志”两部分组成。</w:t>
            </w:r>
          </w:p>
          <w:p>
            <w:pPr>
              <w:pStyle w:val="21"/>
              <w:spacing w:before="62" w:beforeLines="20" w:after="62" w:afterLines="20"/>
              <w:ind w:firstLine="0" w:firstLineChars="0"/>
              <w:rPr>
                <w:sz w:val="18"/>
                <w:szCs w:val="18"/>
              </w:rPr>
            </w:pPr>
            <w:r>
              <w:rPr>
                <w:rFonts w:hint="eastAsia"/>
                <w:sz w:val="18"/>
                <w:szCs w:val="18"/>
              </w:rPr>
              <w:t>2.成品为黑底白字，标志为白色，外圈加银灰色镶边。</w:t>
            </w:r>
          </w:p>
          <w:p>
            <w:pPr>
              <w:pStyle w:val="21"/>
              <w:spacing w:before="62" w:beforeLines="20" w:after="62" w:afterLines="20"/>
              <w:ind w:firstLine="0" w:firstLineChars="0"/>
              <w:rPr>
                <w:sz w:val="18"/>
                <w:szCs w:val="18"/>
              </w:rPr>
            </w:pPr>
            <w:r>
              <w:rPr>
                <w:rFonts w:hint="eastAsia"/>
                <w:sz w:val="18"/>
                <w:szCs w:val="18"/>
              </w:rPr>
              <w:t>3.长宽比例为16:5，应根据驿站的建筑面积按比例缩放。设计图样中未规定部分可自我定义，但应整体协调、清晰，美观大方。</w:t>
            </w:r>
          </w:p>
          <w:p>
            <w:pPr>
              <w:pStyle w:val="21"/>
              <w:spacing w:before="62" w:beforeLines="20" w:after="62" w:afterLines="20"/>
              <w:ind w:firstLine="0" w:firstLineChars="0"/>
              <w:rPr>
                <w:sz w:val="18"/>
                <w:szCs w:val="18"/>
              </w:rPr>
            </w:pPr>
            <w:r>
              <w:rPr>
                <w:rFonts w:hint="eastAsia"/>
                <w:sz w:val="18"/>
                <w:szCs w:val="18"/>
              </w:rPr>
              <w:t>4.材质为发光字体的使用白色亚克力板，材质为非发光字体的使用烤漆不锈钢材质。</w:t>
            </w:r>
          </w:p>
        </w:tc>
        <w:tc>
          <w:tcPr>
            <w:tcW w:w="5812" w:type="dxa"/>
            <w:shd w:val="clear" w:color="auto" w:fill="auto"/>
            <w:vAlign w:val="center"/>
          </w:tcPr>
          <w:p>
            <w:pPr>
              <w:pStyle w:val="21"/>
              <w:ind w:firstLine="0" w:firstLineChars="0"/>
              <w:jc w:val="center"/>
              <w:rPr>
                <w:sz w:val="18"/>
                <w:szCs w:val="18"/>
              </w:rPr>
            </w:pPr>
            <w:r>
              <w:rPr>
                <w:rFonts w:hint="eastAsia"/>
                <w:sz w:val="18"/>
                <w:szCs w:val="18"/>
              </w:rPr>
              <w:drawing>
                <wp:anchor distT="0" distB="0" distL="114300" distR="114300" simplePos="0" relativeHeight="251692032" behindDoc="0" locked="0" layoutInCell="1" allowOverlap="1">
                  <wp:simplePos x="0" y="0"/>
                  <wp:positionH relativeFrom="column">
                    <wp:posOffset>101600</wp:posOffset>
                  </wp:positionH>
                  <wp:positionV relativeFrom="paragraph">
                    <wp:posOffset>-211455</wp:posOffset>
                  </wp:positionV>
                  <wp:extent cx="3491865" cy="1250950"/>
                  <wp:effectExtent l="0" t="0" r="0" b="6350"/>
                  <wp:wrapNone/>
                  <wp:docPr id="64"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8"/>
                          <pic:cNvPicPr>
                            <a:picLocks noChangeAspect="true" noChangeArrowheads="true"/>
                          </pic:cNvPicPr>
                        </pic:nvPicPr>
                        <pic:blipFill>
                          <a:blip r:embed="rId18">
                            <a:extLst>
                              <a:ext uri="{28A0092B-C50C-407E-A947-70E740481C1C}">
                                <a14:useLocalDpi xmlns:a14="http://schemas.microsoft.com/office/drawing/2010/main" val="false"/>
                              </a:ext>
                            </a:extLst>
                          </a:blip>
                          <a:srcRect/>
                          <a:stretch>
                            <a:fillRect/>
                          </a:stretch>
                        </pic:blipFill>
                        <pic:spPr>
                          <a:xfrm>
                            <a:off x="0" y="0"/>
                            <a:ext cx="3491865" cy="1250950"/>
                          </a:xfrm>
                          <a:prstGeom prst="rect">
                            <a:avLst/>
                          </a:prstGeom>
                          <a:noFill/>
                        </pic:spPr>
                      </pic:pic>
                    </a:graphicData>
                  </a:graphic>
                </wp:anchor>
              </w:drawing>
            </w:r>
          </w:p>
        </w:tc>
        <w:tc>
          <w:tcPr>
            <w:tcW w:w="2835" w:type="dxa"/>
            <w:shd w:val="clear" w:color="auto" w:fill="auto"/>
            <w:vAlign w:val="center"/>
          </w:tcPr>
          <w:p>
            <w:pPr>
              <w:pStyle w:val="21"/>
              <w:ind w:firstLine="0" w:firstLineChars="0"/>
              <w:rPr>
                <w:sz w:val="18"/>
                <w:szCs w:val="18"/>
              </w:rPr>
            </w:pPr>
            <w:r>
              <w:rPr>
                <w:rFonts w:hint="eastAsia"/>
                <w:sz w:val="18"/>
                <w:szCs w:val="18"/>
              </w:rPr>
              <w:t>1.应设置在驿站外墙面的醒目位置。</w:t>
            </w:r>
          </w:p>
          <w:p>
            <w:pPr>
              <w:pStyle w:val="21"/>
              <w:ind w:firstLine="0" w:firstLineChars="0"/>
              <w:rPr>
                <w:sz w:val="18"/>
                <w:szCs w:val="18"/>
              </w:rPr>
            </w:pPr>
            <w:r>
              <w:rPr>
                <w:rFonts w:hint="eastAsia"/>
                <w:sz w:val="18"/>
                <w:szCs w:val="18"/>
              </w:rPr>
              <w:t>2.无法设置字样的，应在外墙设置驿站LOGO或图形符号。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7" w:hRule="atLeast"/>
          <w:jc w:val="center"/>
        </w:trPr>
        <w:tc>
          <w:tcPr>
            <w:tcW w:w="992" w:type="dxa"/>
            <w:vMerge w:val="continue"/>
            <w:shd w:val="clear" w:color="auto" w:fill="auto"/>
            <w:vAlign w:val="center"/>
          </w:tcPr>
          <w:p>
            <w:pPr>
              <w:pStyle w:val="41"/>
              <w:numPr>
                <w:ilvl w:val="0"/>
                <w:numId w:val="0"/>
              </w:numPr>
              <w:spacing w:before="156" w:after="156"/>
              <w:jc w:val="center"/>
              <w:rPr>
                <w:rFonts w:ascii="宋体" w:hAnsi="宋体" w:eastAsia="宋体"/>
                <w:w w:val="105"/>
                <w:sz w:val="18"/>
              </w:rPr>
            </w:pPr>
          </w:p>
        </w:tc>
        <w:tc>
          <w:tcPr>
            <w:tcW w:w="3685" w:type="dxa"/>
            <w:shd w:val="clear" w:color="auto" w:fill="auto"/>
            <w:vAlign w:val="center"/>
          </w:tcPr>
          <w:p>
            <w:pPr>
              <w:pStyle w:val="21"/>
              <w:spacing w:before="62" w:beforeLines="20" w:after="62" w:afterLines="20"/>
              <w:ind w:firstLine="0" w:firstLineChars="0"/>
              <w:rPr>
                <w:sz w:val="18"/>
                <w:szCs w:val="18"/>
              </w:rPr>
            </w:pPr>
            <w:r>
              <w:rPr>
                <w:rFonts w:hint="eastAsia"/>
                <w:sz w:val="18"/>
                <w:szCs w:val="18"/>
              </w:rPr>
              <w:t>1.导向指引牌内容由“驿站主标识”、“‘公共卫生间’字样及标志”、“方向和距离”以及“‘驿站服务号’二维码”四部分组成。</w:t>
            </w:r>
          </w:p>
          <w:p>
            <w:pPr>
              <w:pStyle w:val="21"/>
              <w:spacing w:before="62" w:beforeLines="20" w:after="62" w:afterLines="20"/>
              <w:ind w:firstLine="0" w:firstLineChars="0"/>
              <w:rPr>
                <w:sz w:val="18"/>
                <w:szCs w:val="18"/>
              </w:rPr>
            </w:pPr>
            <w:r>
              <w:rPr>
                <w:rFonts w:hint="eastAsia"/>
                <w:sz w:val="18"/>
                <w:szCs w:val="18"/>
              </w:rPr>
              <w:t>2.成品为黑底白字，标志为白色，外圈加银灰色镶边。</w:t>
            </w:r>
          </w:p>
          <w:p>
            <w:pPr>
              <w:pStyle w:val="21"/>
              <w:spacing w:before="62" w:beforeLines="20" w:after="62" w:afterLines="20"/>
              <w:ind w:firstLine="0" w:firstLineChars="0"/>
              <w:rPr>
                <w:sz w:val="18"/>
                <w:szCs w:val="18"/>
              </w:rPr>
            </w:pPr>
            <w:r>
              <w:rPr>
                <w:rFonts w:hint="eastAsia"/>
                <w:sz w:val="18"/>
                <w:szCs w:val="18"/>
              </w:rPr>
              <w:t>3.设计图样中未规定的部分可自我定义，但应整体协调、清晰，美观大方。</w:t>
            </w:r>
          </w:p>
          <w:p>
            <w:pPr>
              <w:pStyle w:val="21"/>
              <w:spacing w:before="62" w:beforeLines="20" w:after="62" w:afterLines="20"/>
              <w:ind w:firstLine="0" w:firstLineChars="0"/>
              <w:rPr>
                <w:sz w:val="18"/>
                <w:szCs w:val="18"/>
              </w:rPr>
            </w:pPr>
            <w:r>
              <w:rPr>
                <w:rFonts w:hint="eastAsia"/>
                <w:sz w:val="18"/>
                <w:szCs w:val="18"/>
              </w:rPr>
              <w:t>4.材质为发光字体的使用白色亚克力板，材质为非发光字体的使用烤漆不锈钢材质。</w:t>
            </w:r>
          </w:p>
        </w:tc>
        <w:tc>
          <w:tcPr>
            <w:tcW w:w="5812" w:type="dxa"/>
            <w:shd w:val="clear" w:color="auto" w:fill="auto"/>
            <w:vAlign w:val="center"/>
          </w:tcPr>
          <w:p>
            <w:pPr>
              <w:pStyle w:val="21"/>
              <w:ind w:firstLine="0" w:firstLineChars="0"/>
              <w:rPr>
                <w:sz w:val="18"/>
                <w:szCs w:val="18"/>
              </w:rPr>
            </w:pPr>
            <w:r>
              <w:rPr>
                <w:szCs w:val="18"/>
              </w:rPr>
              <w:drawing>
                <wp:anchor distT="0" distB="0" distL="114300" distR="114300" simplePos="0" relativeHeight="251693056" behindDoc="0" locked="0" layoutInCell="1" allowOverlap="1">
                  <wp:simplePos x="0" y="0"/>
                  <wp:positionH relativeFrom="column">
                    <wp:posOffset>281305</wp:posOffset>
                  </wp:positionH>
                  <wp:positionV relativeFrom="paragraph">
                    <wp:posOffset>635</wp:posOffset>
                  </wp:positionV>
                  <wp:extent cx="3178810" cy="2323465"/>
                  <wp:effectExtent l="0" t="0" r="2540" b="635"/>
                  <wp:wrapNone/>
                  <wp:docPr id="123"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3" name="图片 42"/>
                          <pic:cNvPicPr>
                            <a:picLocks noChangeAspect="true" noChangeArrowheads="true"/>
                          </pic:cNvPicPr>
                        </pic:nvPicPr>
                        <pic:blipFill>
                          <a:blip r:embed="rId19">
                            <a:extLst>
                              <a:ext uri="{28A0092B-C50C-407E-A947-70E740481C1C}">
                                <a14:useLocalDpi xmlns:a14="http://schemas.microsoft.com/office/drawing/2010/main" val="false"/>
                              </a:ext>
                            </a:extLst>
                          </a:blip>
                          <a:srcRect/>
                          <a:stretch>
                            <a:fillRect/>
                          </a:stretch>
                        </pic:blipFill>
                        <pic:spPr>
                          <a:xfrm>
                            <a:off x="0" y="0"/>
                            <a:ext cx="3178810" cy="2323465"/>
                          </a:xfrm>
                          <a:prstGeom prst="rect">
                            <a:avLst/>
                          </a:prstGeom>
                          <a:noFill/>
                          <a:ln>
                            <a:noFill/>
                          </a:ln>
                          <a:effectLst/>
                        </pic:spPr>
                      </pic:pic>
                    </a:graphicData>
                  </a:graphic>
                </wp:anchor>
              </w:drawing>
            </w:r>
          </w:p>
        </w:tc>
        <w:tc>
          <w:tcPr>
            <w:tcW w:w="2835" w:type="dxa"/>
            <w:shd w:val="clear" w:color="auto" w:fill="auto"/>
            <w:vAlign w:val="center"/>
          </w:tcPr>
          <w:p>
            <w:pPr>
              <w:pStyle w:val="21"/>
              <w:tabs>
                <w:tab w:val="clear" w:pos="4201"/>
                <w:tab w:val="clear" w:pos="9298"/>
              </w:tabs>
              <w:ind w:firstLine="0" w:firstLineChars="0"/>
              <w:rPr>
                <w:sz w:val="18"/>
                <w:szCs w:val="18"/>
              </w:rPr>
            </w:pPr>
            <w:r>
              <w:rPr>
                <w:rFonts w:hint="eastAsia"/>
                <w:sz w:val="18"/>
                <w:szCs w:val="18"/>
              </w:rPr>
              <w:t>1.应设置在驿站周边50</w:t>
            </w:r>
            <w:r>
              <w:rPr>
                <w:sz w:val="18"/>
                <w:szCs w:val="18"/>
              </w:rPr>
              <w:t> </w:t>
            </w:r>
            <w:r>
              <w:rPr>
                <w:rFonts w:hint="eastAsia"/>
                <w:sz w:val="18"/>
                <w:szCs w:val="18"/>
              </w:rPr>
              <w:t>m～200</w:t>
            </w:r>
            <w:r>
              <w:rPr>
                <w:sz w:val="18"/>
                <w:szCs w:val="18"/>
              </w:rPr>
              <w:t> </w:t>
            </w:r>
            <w:r>
              <w:rPr>
                <w:rFonts w:hint="eastAsia"/>
                <w:sz w:val="18"/>
                <w:szCs w:val="18"/>
              </w:rPr>
              <w:t>m的醒目位置</w:t>
            </w:r>
            <w:r>
              <w:rPr>
                <w:rFonts w:hint="eastAsia"/>
                <w:sz w:val="18"/>
              </w:rPr>
              <w:t>。</w:t>
            </w:r>
          </w:p>
          <w:p>
            <w:pPr>
              <w:pStyle w:val="108"/>
              <w:numPr>
                <w:ilvl w:val="0"/>
                <w:numId w:val="0"/>
              </w:numPr>
              <w:jc w:val="both"/>
              <w:rPr>
                <w:sz w:val="18"/>
              </w:rPr>
            </w:pPr>
            <w:r>
              <w:rPr>
                <w:rFonts w:hint="eastAsia"/>
                <w:sz w:val="18"/>
              </w:rPr>
              <w:t>2.应按照“多杆合一”的要求，安装在周边交通标志杆、路灯杆上。</w:t>
            </w:r>
          </w:p>
        </w:tc>
      </w:tr>
    </w:tbl>
    <w:p>
      <w:pPr>
        <w:pStyle w:val="21"/>
        <w:ind w:firstLine="0" w:firstLineChars="0"/>
      </w:pPr>
    </w:p>
    <w:p>
      <w:pPr>
        <w:pStyle w:val="21"/>
        <w:ind w:firstLine="0" w:firstLineChars="0"/>
      </w:pPr>
    </w:p>
    <w:p>
      <w:pPr>
        <w:pStyle w:val="21"/>
        <w:ind w:firstLine="0" w:firstLineChars="0"/>
      </w:pPr>
    </w:p>
    <w:p>
      <w:pPr>
        <w:pStyle w:val="82"/>
        <w:numPr>
          <w:ilvl w:val="1"/>
          <w:numId w:val="16"/>
        </w:numPr>
        <w:spacing w:before="156" w:after="156"/>
        <w:ind w:left="0" w:right="840" w:rightChars="400" w:firstLine="0"/>
      </w:pPr>
      <w:r>
        <w:rPr>
          <w:rFonts w:hint="eastAsia"/>
        </w:rPr>
        <mc:AlternateContent>
          <mc:Choice Requires="wpg">
            <w:drawing>
              <wp:anchor distT="0" distB="0" distL="114300" distR="114300" simplePos="0" relativeHeight="251655168" behindDoc="0" locked="0" layoutInCell="1" allowOverlap="1">
                <wp:simplePos x="0" y="0"/>
                <wp:positionH relativeFrom="column">
                  <wp:posOffset>29210</wp:posOffset>
                </wp:positionH>
                <wp:positionV relativeFrom="paragraph">
                  <wp:posOffset>-290195</wp:posOffset>
                </wp:positionV>
                <wp:extent cx="9252585" cy="1440180"/>
                <wp:effectExtent l="0" t="0" r="24765" b="26670"/>
                <wp:wrapNone/>
                <wp:docPr id="114" name="Group 85"/>
                <wp:cNvGraphicFramePr/>
                <a:graphic xmlns:a="http://schemas.openxmlformats.org/drawingml/2006/main">
                  <a:graphicData uri="http://schemas.microsoft.com/office/word/2010/wordprocessingGroup">
                    <wpg:wgp>
                      <wpg:cNvGrpSpPr/>
                      <wpg:grpSpPr>
                        <a:xfrm>
                          <a:off x="0" y="0"/>
                          <a:ext cx="9252585" cy="1440180"/>
                          <a:chOff x="1134" y="1133"/>
                          <a:chExt cx="14571" cy="2268"/>
                        </a:xfrm>
                      </wpg:grpSpPr>
                      <wps:wsp>
                        <wps:cNvPr id="115" name="文本框 22"/>
                        <wps:cNvSpPr txBox="true">
                          <a:spLocks noChangeArrowheads="true"/>
                        </wps:cNvSpPr>
                        <wps:spPr bwMode="auto">
                          <a:xfrm>
                            <a:off x="1134" y="1355"/>
                            <a:ext cx="340" cy="1020"/>
                          </a:xfrm>
                          <a:prstGeom prst="rect">
                            <a:avLst/>
                          </a:prstGeom>
                          <a:solidFill>
                            <a:srgbClr val="FFFFFF"/>
                          </a:solidFill>
                          <a:ln w="6350">
                            <a:solidFill>
                              <a:srgbClr val="FFFFFF"/>
                            </a:solidFill>
                            <a:miter lim="800000"/>
                          </a:ln>
                        </wps:spPr>
                        <wps:txbx>
                          <w:txbxContent>
                            <w:p>
                              <w:pPr>
                                <w:jc w:val="left"/>
                                <w:rPr>
                                  <w:rFonts w:ascii="宋体" w:hAnsi="宋体"/>
                                  <w:sz w:val="18"/>
                                  <w:szCs w:val="18"/>
                                </w:rPr>
                              </w:pPr>
                              <w:r>
                                <w:rPr>
                                  <w:rFonts w:hint="eastAsia" w:ascii="宋体" w:hAnsi="宋体"/>
                                  <w:sz w:val="18"/>
                                  <w:szCs w:val="18"/>
                                </w:rPr>
                                <w:t>20</w:t>
                              </w:r>
                            </w:p>
                          </w:txbxContent>
                        </wps:txbx>
                        <wps:bodyPr rot="0" vert="vert" wrap="square" lIns="0" tIns="0" rIns="0" bIns="0" anchor="b" anchorCtr="false" upright="true">
                          <a:noAutofit/>
                        </wps:bodyPr>
                      </wps:wsp>
                      <wps:wsp>
                        <wps:cNvPr id="116" name="文本框 8"/>
                        <wps:cNvSpPr txBox="true">
                          <a:spLocks noChangeArrowheads="true"/>
                        </wps:cNvSpPr>
                        <wps:spPr bwMode="auto">
                          <a:xfrm>
                            <a:off x="15422" y="1133"/>
                            <a:ext cx="283" cy="2268"/>
                          </a:xfrm>
                          <a:prstGeom prst="rect">
                            <a:avLst/>
                          </a:prstGeom>
                          <a:solidFill>
                            <a:srgbClr val="FFFFFF"/>
                          </a:solidFill>
                          <a:ln w="6350">
                            <a:solidFill>
                              <a:srgbClr val="FFFFFF"/>
                            </a:solidFill>
                            <a:miter lim="800000"/>
                          </a:ln>
                        </wps:spPr>
                        <wps:txbx>
                          <w:txbxContent>
                            <w:p>
                              <w:pPr>
                                <w:jc w:val="left"/>
                                <w:rPr>
                                  <w:rFonts w:ascii="黑体" w:hAnsi="黑体" w:eastAsia="黑体"/>
                                  <w:szCs w:val="21"/>
                                </w:rPr>
                              </w:pPr>
                              <w:r>
                                <w:rPr>
                                  <w:rFonts w:ascii="黑体" w:hAnsi="黑体" w:eastAsia="黑体"/>
                                  <w:szCs w:val="21"/>
                                </w:rPr>
                                <w:t>DB</w:t>
                              </w:r>
                              <w:r>
                                <w:rPr>
                                  <w:rFonts w:hint="eastAsia" w:ascii="黑体" w:hAnsi="黑体" w:eastAsia="黑体"/>
                                  <w:szCs w:val="21"/>
                                </w:rPr>
                                <w:t>4302/T XXXX—XXXX</w:t>
                              </w:r>
                            </w:p>
                          </w:txbxContent>
                        </wps:txbx>
                        <wps:bodyPr rot="0" vert="vert" wrap="square" lIns="0" tIns="0" rIns="0" bIns="0" anchor="t" anchorCtr="false" upright="true">
                          <a:noAutofit/>
                        </wps:bodyPr>
                      </wps:wsp>
                    </wpg:wgp>
                  </a:graphicData>
                </a:graphic>
              </wp:anchor>
            </w:drawing>
          </mc:Choice>
          <mc:Fallback>
            <w:pict>
              <v:group id="Group 85" o:spid="_x0000_s1026" o:spt="203" style="position:absolute;left:0pt;margin-left:2.3pt;margin-top:-22.85pt;height:113.4pt;width:728.55pt;z-index:251655168;mso-width-relative:page;mso-height-relative:page;" coordorigin="1134,1133" coordsize="14571,2268" o:gfxdata="UEsFBgAAAAAAAAAAAAAAAAAAAAAAAFBLAwQKAAAAAACHTuJAAAAAAAAAAAAAAAAABAAAAGRycy9Q&#10;SwMEFAAAAAgAh07iQObLxQzZAAAACgEAAA8AAABkcnMvZG93bnJldi54bWxNj0FLw0AQhe+C/2EZ&#10;wVu7WU1jidkUKeqpCLaCeJtmp0lodjZkt0n7792e9PaG93jzvWJ1tp0YafCtYw1qnoAgrpxpudbw&#10;tXubLUH4gGywc0waLuRhVd7eFJgbN/EnjdtQi1jCPkcNTQh9LqWvGrLo564njt7BDRZDPIdamgGn&#10;WG47+ZAkmbTYcvzQYE/rhqrj9mQ1vE84vTyq13FzPKwvP7vFx/dGkdb3dyp5BhHoHP7CcMWP6FBG&#10;pr07sfGi05BmMahhli6eQFz9NFNR7aNaKgWyLOT/CeUvUEsDBBQAAAAIAIdO4kDkxfMrxgIAABYI&#10;AAAOAAAAZHJzL2Uyb0RvYy54bWztlUtuFDEQhvdI3MHynvRrehha6YlCQiIkHpECB3C73Q/hto3t&#10;mZ5cAG7Aig17zpVzUHY/MiRCgoCyYhYeu23/rvqqyj482nUcbZk2rRQ5jg5CjJigsmxFneP3786e&#10;rDAyloiScClYjq+YwUfrx48Oe5WxWDaSl0wjEBEm61WOG2tVFgSGNqwj5kAqJmCykrojFoa6DkpN&#10;elDveBCH4TLopS6VlpQZA19Ph0m89vpVxah9W1WGWcRzDLZZ32rfFq4N1ockqzVRTUtHM8g9rOhI&#10;K+DQWeqUWII2ur0j1bVUSyMre0BlF8iqainzPoA3UXjLm3MtN8r7Umd9rWZMgPYWp3vL0jfbC43a&#10;EmIXLTASpIMg+XPRKnV0elVnsOhcq0t1occP9TByDu8q3bl/cAXtPNermSvbWUTh47M4jVOQQxTm&#10;osUijFYjedpAeNy+KErgeDcdJckQFdq8GPdHi/RpNOyO4+XKTQfTyYEzcLanV5BG5oaU+TtSlw1R&#10;zAfAOAgzKXBlIHX95fP11+/X3z6hOB5o+YUOFbK75xI8s3rjJEhm1CtJPxgk5ElDRM2OtZZ9w0gJ&#10;RvpFzi3nAJzkBBx7A7tAquhfyxICQzZWeq1b1G/oJamPGskm9skC0t5zD2MPfSZHMqWNPWeyQ66T&#10;Yw3V4tXJ9pWxA+RpiXdA8rY8azn3A10XJ1yjLYHKOvO/MS5mfxkXqM/xMknDgcH+nPk9ia61cEXw&#10;tsvxKnS/8RwuRl4O0QDL7oqdT1GTFbK8AnJaDiUPVxR0XItRD+WeY/NxQzTDiL8UEAB3N0wdPXWK&#10;qUMEbSTcGgVGQ/fEwqgi3IDARum2bkB9jrSQxxCoqvUMXRAHY0ZzIT8Hax8gUZd3E9WXz16aPWie&#10;pguok5/LfErUeJX8osT/J+ofJypk+T9KVH+/wuPjr9zxoXSv2/7YJ/bNc77+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BYAAABkcnMvUEsB&#10;AhQAFAAAAAgAh07iQObLxQzZAAAACgEAAA8AAAAAAAAAAQAgAAAAOAAAAGRycy9kb3ducmV2Lnht&#10;bFBLAQIUABQAAAAIAIdO4kDkxfMrxgIAABYIAAAOAAAAAAAAAAEAIAAAAD4BAABkcnMvZTJvRG9j&#10;LnhtbFBLBQYAAAAABgAGAFkBAAB2BgAAAAA=&#10;">
                <o:lock v:ext="edit" aspectratio="f"/>
                <v:shape id="文本框 22" o:spid="_x0000_s1026" o:spt="202" type="#_x0000_t202" style="position:absolute;left:1134;top:1355;height:1020;width:340;v-text-anchor:bottom;" fillcolor="#FFFFFF" filled="t" stroked="t" coordsize="21600,21600" o:gfxdata="UEsFBgAAAAAAAAAAAAAAAAAAAAAAAFBLAwQKAAAAAACHTuJAAAAAAAAAAAAAAAAABAAAAGRycy9Q&#10;SwMEFAAAAAgAh07iQETHEUC7AAAA3AAAAA8AAABkcnMvZG93bnJldi54bWxFT0uLwjAQvi/4H8II&#10;XhZNK7hKNXoQRA+i2N2D3oZmbIrNpDTx9e+NIOxtPr7nzBYPW4sbtb5yrCAdJCCIC6crLhX8/a76&#10;ExA+IGusHZOCJ3lYzDtfM8y0u/OBbnkoRQxhn6ECE0KTSekLQxb9wDXEkTu71mKIsC2lbvEew20t&#10;h0nyIy1WHBsMNrQ0VFzyq1XwbQ7HnQ5+jSbdn+xxO37W+VipXjdNpiACPcK/+OPe6Dg/HcH7mXiB&#10;nL8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THEUC7AAAA3AAAAA8AAAAAAAAAAQAgAAAAOAAAAGRycy9kb3ducmV2Lnht&#10;bFBLAQIUABQAAAAIAIdO4kAzLwWeOwAAADkAAAAQAAAAAAAAAAEAIAAAACABAABkcnMvc2hhcGV4&#10;bWwueG1sUEsFBgAAAAAGAAYAWwEAAMoDAAAAAA==&#10;">
                  <v:fill on="t" focussize="0,0"/>
                  <v:stroke weight="0.5pt" color="#FFFFFF" miterlimit="8" joinstyle="miter"/>
                  <v:imagedata o:title=""/>
                  <o:lock v:ext="edit" aspectratio="f"/>
                  <v:textbox inset="0mm,0mm,0mm,0mm" style="layout-flow:vertical;">
                    <w:txbxContent>
                      <w:p>
                        <w:pPr>
                          <w:jc w:val="left"/>
                          <w:rPr>
                            <w:rFonts w:ascii="宋体" w:hAnsi="宋体"/>
                            <w:sz w:val="18"/>
                            <w:szCs w:val="18"/>
                          </w:rPr>
                        </w:pPr>
                        <w:r>
                          <w:rPr>
                            <w:rFonts w:hint="eastAsia" w:ascii="宋体" w:hAnsi="宋体"/>
                            <w:sz w:val="18"/>
                            <w:szCs w:val="18"/>
                          </w:rPr>
                          <w:t>20</w:t>
                        </w:r>
                      </w:p>
                    </w:txbxContent>
                  </v:textbox>
                </v:shape>
                <v:shape id="文本框 8" o:spid="_x0000_s1026" o:spt="202" type="#_x0000_t202" style="position:absolute;left:15422;top:1133;height:2268;width:283;" fillcolor="#FFFFFF" filled="t" stroked="t" coordsize="21600,21600" o:gfxdata="UEsFBgAAAAAAAAAAAAAAAAAAAAAAAFBLAwQKAAAAAACHTuJAAAAAAAAAAAAAAAAABAAAAGRycy9Q&#10;SwMEFAAAAAgAh07iQGP1KxS8AAAA3AAAAA8AAABkcnMvZG93bnJldi54bWxFT8lqwzAQvRf6D2IK&#10;vTWyQ0mCG9kkLYH2WDuX3KbWxDa2Ro4kZ/n7qlDIbR5vnXVxNYM4k/OdZQXpLAFBXFvdcaNgX+1e&#10;ViB8QNY4WCYFN/JQ5I8Pa8y0vfA3ncvQiBjCPkMFbQhjJqWvWzLoZ3YkjtzROoMhQtdI7fASw80g&#10;50mykAY7jg0tjvTeUt2Xk1Hw2k9fE542852u+ml7O/wsyw+n1PNTmryBCHQNd/G/+1PH+ekC/p6J&#10;F8j8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j9SsUvAAAANwAAAAPAAAAAAAAAAEAIAAAADgAAABkcnMvZG93bnJldi54&#10;bWxQSwECFAAUAAAACACHTuJAMy8FnjsAAAA5AAAAEAAAAAAAAAABACAAAAAhAQAAZHJzL3NoYXBl&#10;eG1sLnhtbFBLBQYAAAAABgAGAFsBAADLAwAAAAA=&#10;">
                  <v:fill on="t" focussize="0,0"/>
                  <v:stroke weight="0.5pt" color="#FFFFFF" miterlimit="8" joinstyle="miter"/>
                  <v:imagedata o:title=""/>
                  <o:lock v:ext="edit" aspectratio="f"/>
                  <v:textbox inset="0mm,0mm,0mm,0mm" style="layout-flow:vertical;">
                    <w:txbxContent>
                      <w:p>
                        <w:pPr>
                          <w:jc w:val="left"/>
                          <w:rPr>
                            <w:rFonts w:ascii="黑体" w:hAnsi="黑体" w:eastAsia="黑体"/>
                            <w:szCs w:val="21"/>
                          </w:rPr>
                        </w:pPr>
                        <w:r>
                          <w:rPr>
                            <w:rFonts w:ascii="黑体" w:hAnsi="黑体" w:eastAsia="黑体"/>
                            <w:szCs w:val="21"/>
                          </w:rPr>
                          <w:t>DB</w:t>
                        </w:r>
                        <w:r>
                          <w:rPr>
                            <w:rFonts w:hint="eastAsia" w:ascii="黑体" w:hAnsi="黑体" w:eastAsia="黑体"/>
                            <w:szCs w:val="21"/>
                          </w:rPr>
                          <w:t>4302/T XXXX—XXXX</w:t>
                        </w:r>
                      </w:p>
                    </w:txbxContent>
                  </v:textbox>
                </v:shape>
              </v:group>
            </w:pict>
          </mc:Fallback>
        </mc:AlternateContent>
      </w:r>
      <w:r>
        <w:rPr>
          <w:rFonts w:hint="eastAsia"/>
        </w:rPr>
        <w:t>驿站标识牌</w:t>
      </w:r>
      <w:r>
        <w:rPr>
          <w:rFonts w:hint="eastAsia" w:ascii="宋体" w:hAnsi="宋体" w:eastAsia="宋体"/>
        </w:rPr>
        <w:t>（续）</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3685"/>
        <w:gridCol w:w="6096"/>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2" w:type="dxa"/>
            <w:shd w:val="clear" w:color="auto" w:fill="auto"/>
            <w:vAlign w:val="center"/>
          </w:tcPr>
          <w:p>
            <w:pPr>
              <w:pStyle w:val="21"/>
              <w:ind w:firstLine="0" w:firstLineChars="0"/>
              <w:jc w:val="center"/>
              <w:rPr>
                <w:sz w:val="18"/>
                <w:szCs w:val="18"/>
              </w:rPr>
            </w:pPr>
            <w:r>
              <w:rPr>
                <w:rFonts w:hint="eastAsia"/>
                <w:sz w:val="18"/>
                <w:szCs w:val="18"/>
              </w:rPr>
              <w:t>种类</w:t>
            </w:r>
          </w:p>
        </w:tc>
        <w:tc>
          <w:tcPr>
            <w:tcW w:w="3685" w:type="dxa"/>
            <w:shd w:val="clear" w:color="auto" w:fill="auto"/>
            <w:vAlign w:val="center"/>
          </w:tcPr>
          <w:p>
            <w:pPr>
              <w:pStyle w:val="21"/>
              <w:ind w:firstLine="0" w:firstLineChars="0"/>
              <w:jc w:val="center"/>
              <w:rPr>
                <w:sz w:val="18"/>
                <w:szCs w:val="18"/>
              </w:rPr>
            </w:pPr>
            <w:r>
              <w:rPr>
                <w:rFonts w:hint="eastAsia"/>
                <w:sz w:val="18"/>
                <w:szCs w:val="18"/>
              </w:rPr>
              <w:t>设计要求</w:t>
            </w:r>
          </w:p>
        </w:tc>
        <w:tc>
          <w:tcPr>
            <w:tcW w:w="6096" w:type="dxa"/>
            <w:shd w:val="clear" w:color="auto" w:fill="auto"/>
            <w:vAlign w:val="center"/>
          </w:tcPr>
          <w:p>
            <w:pPr>
              <w:pStyle w:val="21"/>
              <w:ind w:firstLine="0" w:firstLineChars="0"/>
              <w:jc w:val="center"/>
              <w:rPr>
                <w:sz w:val="18"/>
                <w:szCs w:val="18"/>
              </w:rPr>
            </w:pPr>
            <w:r>
              <w:rPr>
                <w:rFonts w:hint="eastAsia"/>
                <w:sz w:val="18"/>
                <w:szCs w:val="18"/>
              </w:rPr>
              <w:t>设计图样</w:t>
            </w:r>
          </w:p>
        </w:tc>
        <w:tc>
          <w:tcPr>
            <w:tcW w:w="2551" w:type="dxa"/>
            <w:shd w:val="clear" w:color="auto" w:fill="auto"/>
            <w:vAlign w:val="center"/>
          </w:tcPr>
          <w:p>
            <w:pPr>
              <w:pStyle w:val="21"/>
              <w:ind w:firstLine="0" w:firstLineChars="0"/>
              <w:jc w:val="center"/>
              <w:rPr>
                <w:sz w:val="18"/>
                <w:szCs w:val="18"/>
              </w:rPr>
            </w:pPr>
            <w:r>
              <w:rPr>
                <w:rFonts w:hint="eastAsia"/>
                <w:sz w:val="18"/>
                <w:szCs w:val="18"/>
              </w:rPr>
              <w:t>设置要求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2" w:hRule="atLeast"/>
          <w:jc w:val="center"/>
        </w:trPr>
        <w:tc>
          <w:tcPr>
            <w:tcW w:w="992" w:type="dxa"/>
            <w:shd w:val="clear" w:color="auto" w:fill="auto"/>
            <w:vAlign w:val="center"/>
          </w:tcPr>
          <w:p>
            <w:pPr>
              <w:pStyle w:val="41"/>
              <w:numPr>
                <w:ilvl w:val="0"/>
                <w:numId w:val="0"/>
              </w:numPr>
              <w:spacing w:before="156" w:after="156"/>
              <w:jc w:val="center"/>
              <w:rPr>
                <w:rFonts w:ascii="宋体" w:hAnsi="宋体" w:eastAsia="宋体"/>
                <w:w w:val="105"/>
                <w:sz w:val="18"/>
              </w:rPr>
            </w:pPr>
            <w:r>
              <w:rPr>
                <w:rFonts w:hint="eastAsia" w:ascii="宋体" w:hAnsi="宋体" w:eastAsia="宋体"/>
                <w:w w:val="105"/>
                <w:sz w:val="18"/>
              </w:rPr>
              <w:t>入口处功能标识牌</w:t>
            </w:r>
          </w:p>
        </w:tc>
        <w:tc>
          <w:tcPr>
            <w:tcW w:w="3685" w:type="dxa"/>
            <w:shd w:val="clear" w:color="auto" w:fill="auto"/>
            <w:vAlign w:val="center"/>
          </w:tcPr>
          <w:p>
            <w:pPr>
              <w:pStyle w:val="21"/>
              <w:ind w:firstLine="0" w:firstLineChars="0"/>
              <w:rPr>
                <w:sz w:val="18"/>
                <w:szCs w:val="18"/>
              </w:rPr>
            </w:pPr>
            <w:r>
              <w:rPr>
                <w:rFonts w:hint="eastAsia"/>
                <w:sz w:val="18"/>
                <w:szCs w:val="18"/>
              </w:rPr>
              <w:t>1.由卫生间标志、残疾人标志、儿童标志等组成。</w:t>
            </w:r>
          </w:p>
          <w:p>
            <w:pPr>
              <w:pStyle w:val="21"/>
              <w:spacing w:before="62" w:beforeLines="20" w:after="62" w:afterLines="20"/>
              <w:ind w:firstLine="0" w:firstLineChars="0"/>
              <w:rPr>
                <w:sz w:val="18"/>
                <w:szCs w:val="18"/>
              </w:rPr>
            </w:pPr>
            <w:r>
              <w:rPr>
                <w:rFonts w:hint="eastAsia"/>
                <w:sz w:val="18"/>
                <w:szCs w:val="18"/>
              </w:rPr>
              <w:t>2.使用液态亚克力发光字，面板为乳白色，侧边高级灰。</w:t>
            </w:r>
          </w:p>
        </w:tc>
        <w:tc>
          <w:tcPr>
            <w:tcW w:w="6096" w:type="dxa"/>
            <w:shd w:val="clear" w:color="auto" w:fill="auto"/>
            <w:vAlign w:val="center"/>
          </w:tcPr>
          <w:p>
            <w:pPr>
              <w:pStyle w:val="21"/>
              <w:ind w:firstLine="0" w:firstLineChars="0"/>
              <w:rPr>
                <w:sz w:val="18"/>
                <w:szCs w:val="18"/>
              </w:rPr>
            </w:pPr>
            <w:r>
              <w:drawing>
                <wp:anchor distT="0" distB="0" distL="114300" distR="114300" simplePos="0" relativeHeight="251679744" behindDoc="0" locked="0" layoutInCell="1" allowOverlap="1">
                  <wp:simplePos x="0" y="0"/>
                  <wp:positionH relativeFrom="column">
                    <wp:posOffset>415925</wp:posOffset>
                  </wp:positionH>
                  <wp:positionV relativeFrom="paragraph">
                    <wp:posOffset>-123825</wp:posOffset>
                  </wp:positionV>
                  <wp:extent cx="2857500" cy="2533650"/>
                  <wp:effectExtent l="0" t="0" r="0" b="0"/>
                  <wp:wrapNone/>
                  <wp:docPr id="12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2" name="图片 1"/>
                          <pic:cNvPicPr>
                            <a:picLocks noChangeAspect="true" noChangeArrowheads="true"/>
                          </pic:cNvPicPr>
                        </pic:nvPicPr>
                        <pic:blipFill>
                          <a:blip r:embed="rId20">
                            <a:extLst>
                              <a:ext uri="{28A0092B-C50C-407E-A947-70E740481C1C}">
                                <a14:useLocalDpi xmlns:a14="http://schemas.microsoft.com/office/drawing/2010/main" val="false"/>
                              </a:ext>
                            </a:extLst>
                          </a:blip>
                          <a:srcRect t="7910" r="43034"/>
                          <a:stretch>
                            <a:fillRect/>
                          </a:stretch>
                        </pic:blipFill>
                        <pic:spPr>
                          <a:xfrm>
                            <a:off x="0" y="0"/>
                            <a:ext cx="2857500" cy="2533650"/>
                          </a:xfrm>
                          <a:prstGeom prst="rect">
                            <a:avLst/>
                          </a:prstGeom>
                          <a:noFill/>
                          <a:ln>
                            <a:noFill/>
                          </a:ln>
                        </pic:spPr>
                      </pic:pic>
                    </a:graphicData>
                  </a:graphic>
                </wp:anchor>
              </w:drawing>
            </w:r>
          </w:p>
        </w:tc>
        <w:tc>
          <w:tcPr>
            <w:tcW w:w="2551" w:type="dxa"/>
            <w:shd w:val="clear" w:color="auto" w:fill="auto"/>
            <w:vAlign w:val="center"/>
          </w:tcPr>
          <w:p>
            <w:pPr>
              <w:pStyle w:val="108"/>
              <w:numPr>
                <w:ilvl w:val="0"/>
                <w:numId w:val="0"/>
              </w:numPr>
              <w:jc w:val="both"/>
              <w:rPr>
                <w:sz w:val="18"/>
              </w:rPr>
            </w:pPr>
            <w:r>
              <w:rPr>
                <w:rFonts w:hint="eastAsia"/>
                <w:sz w:val="18"/>
              </w:rPr>
              <w:t>应设置在驿站进门口旁醒目位置。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3" w:hRule="atLeast"/>
          <w:jc w:val="center"/>
        </w:trPr>
        <w:tc>
          <w:tcPr>
            <w:tcW w:w="992" w:type="dxa"/>
            <w:shd w:val="clear" w:color="auto" w:fill="auto"/>
            <w:vAlign w:val="center"/>
          </w:tcPr>
          <w:p>
            <w:pPr>
              <w:pStyle w:val="41"/>
              <w:numPr>
                <w:ilvl w:val="0"/>
                <w:numId w:val="0"/>
              </w:numPr>
              <w:spacing w:before="156" w:after="156"/>
              <w:jc w:val="center"/>
              <w:rPr>
                <w:rFonts w:ascii="宋体" w:hAnsi="宋体" w:eastAsia="宋体"/>
                <w:w w:val="105"/>
                <w:sz w:val="18"/>
              </w:rPr>
            </w:pPr>
            <w:r>
              <w:rPr>
                <w:rFonts w:hint="eastAsia" w:ascii="宋体" w:hAnsi="宋体" w:eastAsia="宋体"/>
                <w:w w:val="105"/>
                <w:sz w:val="18"/>
              </w:rPr>
              <w:t>男女厕</w:t>
            </w:r>
          </w:p>
        </w:tc>
        <w:tc>
          <w:tcPr>
            <w:tcW w:w="3685" w:type="dxa"/>
            <w:shd w:val="clear" w:color="auto" w:fill="auto"/>
            <w:vAlign w:val="center"/>
          </w:tcPr>
          <w:p>
            <w:pPr>
              <w:pStyle w:val="21"/>
              <w:ind w:firstLine="0" w:firstLineChars="0"/>
              <w:rPr>
                <w:sz w:val="18"/>
                <w:szCs w:val="18"/>
              </w:rPr>
            </w:pPr>
            <w:r>
              <w:rPr>
                <w:rStyle w:val="133"/>
                <w:rFonts w:hint="eastAsia" w:hAnsi="宋体"/>
                <w:color w:val="000000"/>
                <w:sz w:val="18"/>
              </w:rPr>
              <w:t>使用不锈钢切割焊接造型，图文立体切割，镀黑钛。</w:t>
            </w:r>
          </w:p>
        </w:tc>
        <w:tc>
          <w:tcPr>
            <w:tcW w:w="6096" w:type="dxa"/>
            <w:shd w:val="clear" w:color="auto" w:fill="auto"/>
            <w:vAlign w:val="center"/>
          </w:tcPr>
          <w:p>
            <w:pPr>
              <w:rPr>
                <w:rFonts w:ascii="宋体"/>
                <w:sz w:val="18"/>
              </w:rPr>
            </w:pPr>
            <w:r>
              <w:drawing>
                <wp:inline distT="0" distB="0" distL="0" distR="0">
                  <wp:extent cx="3673475" cy="1558290"/>
                  <wp:effectExtent l="0" t="0" r="3175" b="3810"/>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noChangeArrowheads="true"/>
                          </pic:cNvPicPr>
                        </pic:nvPicPr>
                        <pic:blipFill>
                          <a:blip r:embed="rId21">
                            <a:extLst>
                              <a:ext uri="{28A0092B-C50C-407E-A947-70E740481C1C}">
                                <a14:useLocalDpi xmlns:a14="http://schemas.microsoft.com/office/drawing/2010/main" val="false"/>
                              </a:ext>
                            </a:extLst>
                          </a:blip>
                          <a:srcRect/>
                          <a:stretch>
                            <a:fillRect/>
                          </a:stretch>
                        </pic:blipFill>
                        <pic:spPr>
                          <a:xfrm>
                            <a:off x="0" y="0"/>
                            <a:ext cx="3673475" cy="1558290"/>
                          </a:xfrm>
                          <a:prstGeom prst="rect">
                            <a:avLst/>
                          </a:prstGeom>
                          <a:noFill/>
                          <a:ln>
                            <a:noFill/>
                          </a:ln>
                        </pic:spPr>
                      </pic:pic>
                    </a:graphicData>
                  </a:graphic>
                </wp:inline>
              </w:drawing>
            </w:r>
          </w:p>
        </w:tc>
        <w:tc>
          <w:tcPr>
            <w:tcW w:w="2551" w:type="dxa"/>
            <w:shd w:val="clear" w:color="auto" w:fill="auto"/>
            <w:vAlign w:val="center"/>
          </w:tcPr>
          <w:p>
            <w:pPr>
              <w:rPr>
                <w:rFonts w:ascii="宋体" w:hAnsi="宋体"/>
                <w:color w:val="000000"/>
                <w:kern w:val="0"/>
                <w:sz w:val="18"/>
              </w:rPr>
            </w:pPr>
            <w:r>
              <w:rPr>
                <w:rStyle w:val="133"/>
                <w:rFonts w:hint="eastAsia" w:ascii="宋体" w:hAnsi="宋体"/>
                <w:color w:val="000000"/>
                <w:kern w:val="0"/>
                <w:sz w:val="18"/>
              </w:rPr>
              <w:t>应设置于入口</w:t>
            </w:r>
            <w:r>
              <w:rPr>
                <w:rStyle w:val="133"/>
                <w:rFonts w:ascii="宋体" w:hAnsi="宋体"/>
                <w:color w:val="000000"/>
                <w:kern w:val="0"/>
                <w:sz w:val="18"/>
              </w:rPr>
              <w:t>醒目位置</w:t>
            </w:r>
            <w:r>
              <w:rPr>
                <w:rStyle w:val="133"/>
                <w:rFonts w:hint="eastAsia" w:ascii="宋体" w:hAnsi="宋体"/>
                <w:color w:val="000000"/>
                <w:kern w:val="0"/>
                <w:sz w:val="18"/>
              </w:rPr>
              <w:t>。</w:t>
            </w:r>
          </w:p>
        </w:tc>
      </w:tr>
    </w:tbl>
    <w:p>
      <w:pPr>
        <w:pStyle w:val="21"/>
        <w:ind w:firstLine="0" w:firstLineChars="0"/>
      </w:pPr>
    </w:p>
    <w:p>
      <w:pPr>
        <w:pStyle w:val="21"/>
        <w:ind w:firstLine="0" w:firstLineChars="0"/>
      </w:pPr>
    </w:p>
    <w:p>
      <w:pPr>
        <w:pStyle w:val="21"/>
        <w:ind w:firstLine="0" w:firstLineChars="0"/>
      </w:pPr>
    </w:p>
    <w:p>
      <w:pPr>
        <w:pStyle w:val="82"/>
        <w:numPr>
          <w:ilvl w:val="1"/>
          <w:numId w:val="17"/>
        </w:numPr>
        <w:spacing w:before="156" w:after="156"/>
        <w:ind w:left="0" w:right="840" w:rightChars="400" w:firstLine="0"/>
      </w:pPr>
      <w:r>
        <w:rPr>
          <w:rFonts w:hint="eastAsia"/>
        </w:rPr>
        <w:t>驿站标识牌</w:t>
      </w:r>
      <w:r>
        <w:rPr>
          <w:rFonts w:hint="eastAsia" w:ascii="宋体" w:hAnsi="宋体" w:eastAsia="宋体"/>
        </w:rPr>
        <w:t>（续）</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3685"/>
        <w:gridCol w:w="5812"/>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2" w:type="dxa"/>
            <w:shd w:val="clear" w:color="auto" w:fill="auto"/>
            <w:vAlign w:val="center"/>
          </w:tcPr>
          <w:p>
            <w:pPr>
              <w:pStyle w:val="21"/>
              <w:ind w:firstLine="0" w:firstLineChars="0"/>
              <w:jc w:val="center"/>
              <w:rPr>
                <w:sz w:val="18"/>
                <w:szCs w:val="18"/>
              </w:rPr>
            </w:pPr>
            <w:r>
              <w:rPr>
                <w:rFonts w:hint="eastAsia"/>
                <w:sz w:val="18"/>
                <w:szCs w:val="18"/>
              </w:rPr>
              <w:t>种类</w:t>
            </w:r>
          </w:p>
        </w:tc>
        <w:tc>
          <w:tcPr>
            <w:tcW w:w="3685" w:type="dxa"/>
            <w:shd w:val="clear" w:color="auto" w:fill="auto"/>
            <w:vAlign w:val="center"/>
          </w:tcPr>
          <w:p>
            <w:pPr>
              <w:pStyle w:val="21"/>
              <w:ind w:firstLine="0" w:firstLineChars="0"/>
              <w:jc w:val="center"/>
              <w:rPr>
                <w:sz w:val="18"/>
                <w:szCs w:val="18"/>
              </w:rPr>
            </w:pPr>
            <w:r>
              <w:rPr>
                <w:rFonts w:hint="eastAsia"/>
                <w:sz w:val="18"/>
                <w:szCs w:val="18"/>
              </w:rPr>
              <w:t>设计要求</w:t>
            </w:r>
          </w:p>
        </w:tc>
        <w:tc>
          <w:tcPr>
            <w:tcW w:w="5812" w:type="dxa"/>
            <w:shd w:val="clear" w:color="auto" w:fill="auto"/>
            <w:vAlign w:val="center"/>
          </w:tcPr>
          <w:p>
            <w:pPr>
              <w:pStyle w:val="21"/>
              <w:ind w:firstLine="0" w:firstLineChars="0"/>
              <w:jc w:val="center"/>
              <w:rPr>
                <w:sz w:val="18"/>
                <w:szCs w:val="18"/>
              </w:rPr>
            </w:pPr>
            <w:r>
              <w:rPr>
                <w:rFonts w:hint="eastAsia"/>
                <w:sz w:val="18"/>
                <w:szCs w:val="18"/>
              </w:rPr>
              <w:t>设计图样</w:t>
            </w:r>
          </w:p>
        </w:tc>
        <w:tc>
          <w:tcPr>
            <w:tcW w:w="2835" w:type="dxa"/>
            <w:shd w:val="clear" w:color="auto" w:fill="auto"/>
            <w:vAlign w:val="center"/>
          </w:tcPr>
          <w:p>
            <w:pPr>
              <w:pStyle w:val="21"/>
              <w:ind w:firstLine="0" w:firstLineChars="0"/>
              <w:jc w:val="center"/>
              <w:rPr>
                <w:sz w:val="18"/>
                <w:szCs w:val="18"/>
              </w:rPr>
            </w:pPr>
            <w:r>
              <w:rPr>
                <w:rFonts w:hint="eastAsia"/>
                <w:sz w:val="18"/>
                <w:szCs w:val="18"/>
              </w:rPr>
              <w:t>设置要求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2" w:hRule="atLeast"/>
          <w:jc w:val="center"/>
        </w:trPr>
        <w:tc>
          <w:tcPr>
            <w:tcW w:w="992" w:type="dxa"/>
            <w:shd w:val="clear" w:color="auto" w:fill="auto"/>
            <w:vAlign w:val="center"/>
          </w:tcPr>
          <w:p>
            <w:pPr>
              <w:jc w:val="center"/>
              <w:rPr>
                <w:rFonts w:ascii="宋体" w:hAnsi="宋体"/>
                <w:color w:val="000000"/>
                <w:sz w:val="18"/>
                <w:szCs w:val="18"/>
              </w:rPr>
            </w:pPr>
            <w:r>
              <w:rPr>
                <w:rStyle w:val="133"/>
                <w:rFonts w:hint="eastAsia" w:ascii="宋体" w:hAnsi="宋体"/>
                <w:color w:val="000000"/>
                <w:sz w:val="18"/>
                <w:szCs w:val="18"/>
              </w:rPr>
              <w:t>厕位（坐位、蹲位）</w:t>
            </w:r>
          </w:p>
        </w:tc>
        <w:tc>
          <w:tcPr>
            <w:tcW w:w="3685" w:type="dxa"/>
            <w:shd w:val="clear" w:color="auto" w:fill="auto"/>
            <w:vAlign w:val="center"/>
          </w:tcPr>
          <w:p>
            <w:pPr>
              <w:rPr>
                <w:rFonts w:ascii="宋体"/>
                <w:sz w:val="18"/>
              </w:rPr>
            </w:pPr>
            <w:r>
              <w:rPr>
                <w:rStyle w:val="133"/>
                <w:rFonts w:hint="eastAsia" w:ascii="宋体" w:hAnsi="宋体"/>
                <w:color w:val="000000"/>
                <w:kern w:val="0"/>
                <w:sz w:val="18"/>
              </w:rPr>
              <w:t>拉丝不锈钢切割，镀黑钛。</w:t>
            </w:r>
          </w:p>
        </w:tc>
        <w:tc>
          <w:tcPr>
            <w:tcW w:w="5812" w:type="dxa"/>
            <w:shd w:val="clear" w:color="auto" w:fill="auto"/>
            <w:vAlign w:val="center"/>
          </w:tcPr>
          <w:p>
            <w:pPr>
              <w:jc w:val="center"/>
              <w:rPr>
                <w:rFonts w:ascii="宋体"/>
                <w:sz w:val="18"/>
              </w:rPr>
            </w:pPr>
            <w:r>
              <w:rPr>
                <w:rFonts w:ascii="宋体"/>
                <w:sz w:val="18"/>
              </w:rPr>
              <w:drawing>
                <wp:inline distT="0" distB="0" distL="0" distR="0">
                  <wp:extent cx="1732280" cy="1476375"/>
                  <wp:effectExtent l="0" t="0" r="1270" b="0"/>
                  <wp:docPr id="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true" noChangeArrowheads="true"/>
                          </pic:cNvPicPr>
                        </pic:nvPicPr>
                        <pic:blipFill>
                          <a:blip r:embed="rId22">
                            <a:extLst>
                              <a:ext uri="{28A0092B-C50C-407E-A947-70E740481C1C}">
                                <a14:useLocalDpi xmlns:a14="http://schemas.microsoft.com/office/drawing/2010/main" val="false"/>
                              </a:ext>
                            </a:extLst>
                          </a:blip>
                          <a:srcRect r="35748"/>
                          <a:stretch>
                            <a:fillRect/>
                          </a:stretch>
                        </pic:blipFill>
                        <pic:spPr>
                          <a:xfrm>
                            <a:off x="0" y="0"/>
                            <a:ext cx="1741138" cy="1483588"/>
                          </a:xfrm>
                          <a:prstGeom prst="rect">
                            <a:avLst/>
                          </a:prstGeom>
                          <a:noFill/>
                          <a:ln>
                            <a:noFill/>
                          </a:ln>
                        </pic:spPr>
                      </pic:pic>
                    </a:graphicData>
                  </a:graphic>
                </wp:inline>
              </w:drawing>
            </w:r>
            <w:r>
              <w:rPr>
                <w:rFonts w:hint="eastAsia" w:ascii="宋体"/>
                <w:sz w:val="18"/>
              </w:rPr>
              <w:t xml:space="preserve">  </w:t>
            </w:r>
            <w:r>
              <w:rPr>
                <w:rFonts w:ascii="宋体"/>
                <w:sz w:val="18"/>
              </w:rPr>
              <w:drawing>
                <wp:inline distT="0" distB="0" distL="0" distR="0">
                  <wp:extent cx="1485900" cy="1621790"/>
                  <wp:effectExtent l="0" t="0" r="0" b="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noChangeArrowheads="true"/>
                          </pic:cNvPicPr>
                        </pic:nvPicPr>
                        <pic:blipFill>
                          <a:blip r:embed="rId23">
                            <a:extLst>
                              <a:ext uri="{28A0092B-C50C-407E-A947-70E740481C1C}">
                                <a14:useLocalDpi xmlns:a14="http://schemas.microsoft.com/office/drawing/2010/main" val="false"/>
                              </a:ext>
                            </a:extLst>
                          </a:blip>
                          <a:srcRect r="43541"/>
                          <a:stretch>
                            <a:fillRect/>
                          </a:stretch>
                        </pic:blipFill>
                        <pic:spPr>
                          <a:xfrm>
                            <a:off x="0" y="0"/>
                            <a:ext cx="1482542" cy="1618540"/>
                          </a:xfrm>
                          <a:prstGeom prst="rect">
                            <a:avLst/>
                          </a:prstGeom>
                          <a:noFill/>
                          <a:ln>
                            <a:noFill/>
                          </a:ln>
                        </pic:spPr>
                      </pic:pic>
                    </a:graphicData>
                  </a:graphic>
                </wp:inline>
              </w:drawing>
            </w:r>
          </w:p>
        </w:tc>
        <w:tc>
          <w:tcPr>
            <w:tcW w:w="2835" w:type="dxa"/>
            <w:shd w:val="clear" w:color="auto" w:fill="auto"/>
            <w:vAlign w:val="center"/>
          </w:tcPr>
          <w:p>
            <w:pPr>
              <w:pStyle w:val="21"/>
              <w:ind w:firstLine="0" w:firstLineChars="0"/>
              <w:rPr>
                <w:sz w:val="18"/>
              </w:rPr>
            </w:pPr>
            <w:r>
              <w:rPr>
                <w:rStyle w:val="133"/>
                <w:rFonts w:hint="eastAsia" w:hAnsi="宋体"/>
                <w:color w:val="000000"/>
                <w:sz w:val="18"/>
              </w:rPr>
              <w:t>应设置于</w:t>
            </w:r>
            <w:r>
              <w:rPr>
                <w:rStyle w:val="133"/>
                <w:rFonts w:hAnsi="宋体"/>
                <w:color w:val="000000"/>
                <w:sz w:val="18"/>
              </w:rPr>
              <w:t>厕门上方醒目位置</w:t>
            </w:r>
            <w:r>
              <w:rPr>
                <w:rStyle w:val="133"/>
                <w:rFonts w:hint="eastAsia" w:hAnsi="宋体"/>
                <w:color w:val="000000"/>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5" w:hRule="atLeast"/>
          <w:jc w:val="center"/>
        </w:trPr>
        <w:tc>
          <w:tcPr>
            <w:tcW w:w="992" w:type="dxa"/>
            <w:shd w:val="clear" w:color="auto" w:fill="auto"/>
            <w:vAlign w:val="center"/>
          </w:tcPr>
          <w:p>
            <w:pPr>
              <w:jc w:val="center"/>
              <w:rPr>
                <w:rStyle w:val="133"/>
                <w:rFonts w:ascii="宋体" w:hAnsi="宋体"/>
                <w:color w:val="000000"/>
                <w:sz w:val="18"/>
                <w:szCs w:val="18"/>
              </w:rPr>
            </w:pPr>
            <w:r>
              <w:rPr>
                <w:rFonts w:hint="eastAsia"/>
              </w:rPr>
              <mc:AlternateContent>
                <mc:Choice Requires="wpg">
                  <w:drawing>
                    <wp:anchor distT="0" distB="0" distL="114300" distR="114300" simplePos="0" relativeHeight="251699200" behindDoc="0" locked="0" layoutInCell="1" allowOverlap="1">
                      <wp:simplePos x="0" y="0"/>
                      <wp:positionH relativeFrom="column">
                        <wp:posOffset>-518795</wp:posOffset>
                      </wp:positionH>
                      <wp:positionV relativeFrom="paragraph">
                        <wp:posOffset>1391285</wp:posOffset>
                      </wp:positionV>
                      <wp:extent cx="9252585" cy="1440180"/>
                      <wp:effectExtent l="0" t="0" r="24765" b="26670"/>
                      <wp:wrapNone/>
                      <wp:docPr id="16" name="Group 85"/>
                      <wp:cNvGraphicFramePr/>
                      <a:graphic xmlns:a="http://schemas.openxmlformats.org/drawingml/2006/main">
                        <a:graphicData uri="http://schemas.microsoft.com/office/word/2010/wordprocessingGroup">
                          <wpg:wgp>
                            <wpg:cNvGrpSpPr/>
                            <wpg:grpSpPr>
                              <a:xfrm>
                                <a:off x="0" y="0"/>
                                <a:ext cx="9252585" cy="1440180"/>
                                <a:chOff x="1134" y="1133"/>
                                <a:chExt cx="14571" cy="2268"/>
                              </a:xfrm>
                            </wpg:grpSpPr>
                            <wps:wsp>
                              <wps:cNvPr id="18" name="文本框 22"/>
                              <wps:cNvSpPr txBox="true">
                                <a:spLocks noChangeArrowheads="true"/>
                              </wps:cNvSpPr>
                              <wps:spPr bwMode="auto">
                                <a:xfrm>
                                  <a:off x="1134" y="2180"/>
                                  <a:ext cx="340" cy="1020"/>
                                </a:xfrm>
                                <a:prstGeom prst="rect">
                                  <a:avLst/>
                                </a:prstGeom>
                                <a:solidFill>
                                  <a:srgbClr val="FFFFFF"/>
                                </a:solidFill>
                                <a:ln w="6350">
                                  <a:solidFill>
                                    <a:srgbClr val="FFFFFF"/>
                                  </a:solidFill>
                                  <a:miter lim="800000"/>
                                </a:ln>
                              </wps:spPr>
                              <wps:txbx>
                                <w:txbxContent>
                                  <w:p>
                                    <w:pPr>
                                      <w:jc w:val="right"/>
                                      <w:rPr>
                                        <w:rFonts w:ascii="宋体" w:hAnsi="宋体"/>
                                        <w:sz w:val="18"/>
                                        <w:szCs w:val="18"/>
                                      </w:rPr>
                                    </w:pPr>
                                    <w:r>
                                      <w:rPr>
                                        <w:rFonts w:hint="eastAsia" w:ascii="宋体" w:hAnsi="宋体"/>
                                        <w:sz w:val="18"/>
                                        <w:szCs w:val="18"/>
                                      </w:rPr>
                                      <w:t>21</w:t>
                                    </w:r>
                                  </w:p>
                                </w:txbxContent>
                              </wps:txbx>
                              <wps:bodyPr rot="0" vert="vert" wrap="square" lIns="0" tIns="0" rIns="0" bIns="0" anchor="b" anchorCtr="false" upright="true">
                                <a:noAutofit/>
                              </wps:bodyPr>
                            </wps:wsp>
                            <wps:wsp>
                              <wps:cNvPr id="20" name="文本框 8"/>
                              <wps:cNvSpPr txBox="true">
                                <a:spLocks noChangeArrowheads="true"/>
                              </wps:cNvSpPr>
                              <wps:spPr bwMode="auto">
                                <a:xfrm>
                                  <a:off x="15422" y="1133"/>
                                  <a:ext cx="283" cy="2268"/>
                                </a:xfrm>
                                <a:prstGeom prst="rect">
                                  <a:avLst/>
                                </a:prstGeom>
                                <a:solidFill>
                                  <a:srgbClr val="FFFFFF"/>
                                </a:solidFill>
                                <a:ln w="6350">
                                  <a:solidFill>
                                    <a:srgbClr val="FFFFFF"/>
                                  </a:solidFill>
                                  <a:miter lim="800000"/>
                                </a:ln>
                              </wps:spPr>
                              <wps:txbx>
                                <w:txbxContent>
                                  <w:p>
                                    <w:pPr>
                                      <w:jc w:val="left"/>
                                      <w:rPr>
                                        <w:rFonts w:ascii="黑体" w:hAnsi="黑体" w:eastAsia="黑体"/>
                                        <w:szCs w:val="21"/>
                                      </w:rPr>
                                    </w:pPr>
                                    <w:r>
                                      <w:rPr>
                                        <w:rFonts w:ascii="黑体" w:hAnsi="黑体" w:eastAsia="黑体"/>
                                        <w:szCs w:val="21"/>
                                      </w:rPr>
                                      <w:t>DB</w:t>
                                    </w:r>
                                    <w:r>
                                      <w:rPr>
                                        <w:rFonts w:hint="eastAsia" w:ascii="黑体" w:hAnsi="黑体" w:eastAsia="黑体"/>
                                        <w:szCs w:val="21"/>
                                      </w:rPr>
                                      <w:t>4302/T XXXX—XXXX</w:t>
                                    </w:r>
                                  </w:p>
                                </w:txbxContent>
                              </wps:txbx>
                              <wps:bodyPr rot="0" vert="vert" wrap="square" lIns="0" tIns="0" rIns="0" bIns="0" anchor="t" anchorCtr="false" upright="true">
                                <a:noAutofit/>
                              </wps:bodyPr>
                            </wps:wsp>
                          </wpg:wgp>
                        </a:graphicData>
                      </a:graphic>
                    </wp:anchor>
                  </w:drawing>
                </mc:Choice>
                <mc:Fallback>
                  <w:pict>
                    <v:group id="Group 85" o:spid="_x0000_s1026" o:spt="203" style="position:absolute;left:0pt;margin-left:-40.85pt;margin-top:109.55pt;height:113.4pt;width:728.55pt;z-index:251699200;mso-width-relative:page;mso-height-relative:page;" coordorigin="1134,1133" coordsize="14571,2268" o:gfxdata="UEsFBgAAAAAAAAAAAAAAAAAAAAAAAFBLAwQKAAAAAACHTuJAAAAAAAAAAAAAAAAABAAAAGRycy9Q&#10;SwMEFAAAAAgAh07iQA7X54XcAAAADAEAAA8AAABkcnMvZG93bnJldi54bWxNj0FPwkAQhe8m/ofN&#10;mHiD7UIrULslhqgnYiKYGG9DO7QN3dmmu7Tw711Oepy8L+99k60vphUD9a6xrEFNIxDEhS0brjR8&#10;7d8mSxDOI5fYWiYNV3Kwzu/vMkxLO/InDTtfiVDCLkUNtfddKqUrajLoprYjDtnR9gZ9OPtKlj2O&#10;ody0chZFT9Jgw2Ghxo42NRWn3dloeB9xfJmr12F7Om6uP/vk43urSOvHBxU9g/B08X8w3PSDOuTB&#10;6WDPXDrRapgs1SKgGmZqpUDciPkiiUEcNMRxsgKZZ/L/E/kvUEsDBBQAAAAIAIdO4kBLn5GXxAIA&#10;ABMIAAAOAAAAZHJzL2Uyb0RvYy54bWztlUtuFDEQhvdI3MHynvRjHgyt9EQhIRESj0iBA7jd7m4L&#10;t21sz/TkAnADVmzYc66cg7L7kSEREoTHill47LZdrvrqL/vwaNcKtGXGciVznBzEGDFJVcllneO3&#10;b84erTCyjsiSCCVZjq+YxUfrhw8OO52xVDVKlMwgMCJt1ukcN87pLIosbVhL7IHSTMJkpUxLHAxN&#10;HZWGdGC9FVEax8uoU6bURlFmLXw97SfxOtivKkbd66qyzCGRY/DNhdaEtvBttD4kWW2Ibjgd3CD3&#10;8KIlXMKhk6lT4gjaGH7HVMupUVZV7oCqNlJVxSkLMUA0SXwrmnOjNjrEUmddrSdMgPYWp3ubpa+2&#10;FwbxEnK3xEiSFnIUjkWrhYfT6TqDNedGX+oLM3yo+5GPd1eZ1v9DJGgXsF5NWNnOIQofn6SLdAHm&#10;EIW5ZD6Pk9UAnjaQHb8vSWZzjPx0Mpv1SaHNs2F/Ml88Tvrdabpc+eloPDnyDk7+dBpUZG9A2d8D&#10;ddkQzQJ/6yGMoEDSPajrTx+vP3+9/vIBpWkPK6zzpJDbPVUQmDMbb4FkVr9Q9J1FUp00RNbs2BjV&#10;NYyU4GNY5KPy/sNB3oBHb2EXmCq6l6qEvJCNU8HWLegTvHQCO6KfzUH0AXucBuYTOJJpY905Uy3y&#10;nRwbqJVgnWxfWNczHpeEAJTg5RkXIgxMXZwIg7YE6uos/Ia02P1lQqIux8vZIu4Z7M/ZnzPRcgcX&#10;hOBtjlex/w3nCDnw8oh6WG5X7IJCbVao8grIGdUXPFxQ0PEtRh0Ue47t+w0xDCPxXEIC/M0wdszY&#10;KcYOkbRRcGcUGPXdEwejiggLBjba8LoB61OmpTqGRFU8MPRJ7J0Z3AV59t7+dZ1Cwu/oNBTPnsr+&#10;qUwXcyiT74t81Gm6mv2gwP/r9Jd1CiL/QzoNtyu8POHCHV5J/7Ttj4Oub97y9T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WAAAAZHJzL1BL&#10;AQIUABQAAAAIAIdO4kAO1+eF3AAAAAwBAAAPAAAAAAAAAAEAIAAAADgAAABkcnMvZG93bnJldi54&#10;bWxQSwECFAAUAAAACACHTuJAS5+Rl8QCAAATCAAADgAAAAAAAAABACAAAABBAQAAZHJzL2Uyb0Rv&#10;Yy54bWxQSwUGAAAAAAYABgBZAQAAdwYAAAAA&#10;">
                      <o:lock v:ext="edit" aspectratio="f"/>
                      <v:shape id="文本框 22" o:spid="_x0000_s1026" o:spt="202" type="#_x0000_t202" style="position:absolute;left:1134;top:2180;height:1020;width:340;v-text-anchor:bottom;" fillcolor="#FFFFFF" filled="t" stroked="t" coordsize="21600,21600" o:gfxdata="UEsFBgAAAAAAAAAAAAAAAAAAAAAAAFBLAwQKAAAAAACHTuJAAAAAAAAAAAAAAAAABAAAAGRycy9Q&#10;SwMEFAAAAAgAh07iQG/GXhG+AAAA2wAAAA8AAABkcnMvZG93bnJldi54bWxFj09rwzAMxe+FfQej&#10;wS6ldbJDO9I6OQxGdxgrzXbIbiJW49BYDrH779tPh8FuEu/pvZ+21c0P6kJT7AMbyJcZKOI22J47&#10;A99fb4sXUDEhWxwCk4E7RajKh9kWCxuufKBLnTolIRwLNOBSGgutY+vIY1yGkVi0Y5g8JlmnTtsJ&#10;rxLuB/2cZSvtsWdpcDjSq6P2VJ+9gbk7NJ82xR26fP/jm4/1fajXxjw95tkGVKJb+jf/Xb9bwRdY&#10;+UUG0OU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GXhG+AAAA2wAAAA8AAAAAAAAAAQAgAAAAOAAAAGRycy9kb3ducmV2&#10;LnhtbFBLAQIUABQAAAAIAIdO4kAzLwWeOwAAADkAAAAQAAAAAAAAAAEAIAAAACMBAABkcnMvc2hh&#10;cGV4bWwueG1sUEsFBgAAAAAGAAYAWwEAAM0DAAAAAA==&#10;">
                        <v:fill on="t" focussize="0,0"/>
                        <v:stroke weight="0.5pt" color="#FFFFFF" miterlimit="8" joinstyle="miter"/>
                        <v:imagedata o:title=""/>
                        <o:lock v:ext="edit" aspectratio="f"/>
                        <v:textbox inset="0mm,0mm,0mm,0mm" style="layout-flow:vertical;">
                          <w:txbxContent>
                            <w:p>
                              <w:pPr>
                                <w:jc w:val="right"/>
                                <w:rPr>
                                  <w:rFonts w:ascii="宋体" w:hAnsi="宋体"/>
                                  <w:sz w:val="18"/>
                                  <w:szCs w:val="18"/>
                                </w:rPr>
                              </w:pPr>
                              <w:r>
                                <w:rPr>
                                  <w:rFonts w:hint="eastAsia" w:ascii="宋体" w:hAnsi="宋体"/>
                                  <w:sz w:val="18"/>
                                  <w:szCs w:val="18"/>
                                </w:rPr>
                                <w:t>21</w:t>
                              </w:r>
                            </w:p>
                          </w:txbxContent>
                        </v:textbox>
                      </v:shape>
                      <v:shape id="文本框 8" o:spid="_x0000_s1026" o:spt="202" type="#_x0000_t202" style="position:absolute;left:15422;top:1133;height:2268;width:283;" fillcolor="#FFFFFF" filled="t" stroked="t" coordsize="21600,21600" o:gfxdata="UEsFBgAAAAAAAAAAAAAAAAAAAAAAAFBLAwQKAAAAAACHTuJAAAAAAAAAAAAAAAAABAAAAGRycy9Q&#10;SwMEFAAAAAgAh07iQKi0H9e5AAAA2wAAAA8AAABkcnMvZG93bnJldi54bWxFT8uKwjAU3QvzD+EO&#10;zE5Ty6BDNYqjCLq0upndtbm2pc1NJ0l9/L1ZCC4P5z1f3k0rruR8bVnBeJSAIC6srrlUcDpuhz8g&#10;fEDW2FomBQ/ysFx8DOaYaXvjA13zUIoYwj5DBVUIXSalLyoy6Ee2I47cxTqDIUJXSu3wFsNNK9Mk&#10;mUiDNceGCjtaV1Q0eW8UfDf9vsf/VbrVx6b/ffydp/nGKfX1OU5mIALdw1v8cu+0gjSuj1/iD5CL&#10;J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otB/XuQAAANsAAAAPAAAAAAAAAAEAIAAAADgAAABkcnMvZG93bnJldi54bWxQ&#10;SwECFAAUAAAACACHTuJAMy8FnjsAAAA5AAAAEAAAAAAAAAABACAAAAAeAQAAZHJzL3NoYXBleG1s&#10;LnhtbFBLBQYAAAAABgAGAFsBAADIAwAAAAA=&#10;">
                        <v:fill on="t" focussize="0,0"/>
                        <v:stroke weight="0.5pt" color="#FFFFFF" miterlimit="8" joinstyle="miter"/>
                        <v:imagedata o:title=""/>
                        <o:lock v:ext="edit" aspectratio="f"/>
                        <v:textbox inset="0mm,0mm,0mm,0mm" style="layout-flow:vertical;">
                          <w:txbxContent>
                            <w:p>
                              <w:pPr>
                                <w:jc w:val="left"/>
                                <w:rPr>
                                  <w:rFonts w:ascii="黑体" w:hAnsi="黑体" w:eastAsia="黑体"/>
                                  <w:szCs w:val="21"/>
                                </w:rPr>
                              </w:pPr>
                              <w:r>
                                <w:rPr>
                                  <w:rFonts w:ascii="黑体" w:hAnsi="黑体" w:eastAsia="黑体"/>
                                  <w:szCs w:val="21"/>
                                </w:rPr>
                                <w:t>DB</w:t>
                              </w:r>
                              <w:r>
                                <w:rPr>
                                  <w:rFonts w:hint="eastAsia" w:ascii="黑体" w:hAnsi="黑体" w:eastAsia="黑体"/>
                                  <w:szCs w:val="21"/>
                                </w:rPr>
                                <w:t>4302/T XXXX—XXXX</w:t>
                              </w:r>
                            </w:p>
                          </w:txbxContent>
                        </v:textbox>
                      </v:shape>
                    </v:group>
                  </w:pict>
                </mc:Fallback>
              </mc:AlternateContent>
            </w:r>
            <w:r>
              <w:rPr>
                <w:rStyle w:val="133"/>
                <w:rFonts w:hint="eastAsia" w:ascii="宋体" w:hAnsi="宋体"/>
                <w:color w:val="000000"/>
                <w:sz w:val="18"/>
                <w:szCs w:val="18"/>
              </w:rPr>
              <w:t>工具间</w:t>
            </w:r>
          </w:p>
        </w:tc>
        <w:tc>
          <w:tcPr>
            <w:tcW w:w="3685" w:type="dxa"/>
            <w:shd w:val="clear" w:color="auto" w:fill="auto"/>
            <w:vAlign w:val="center"/>
          </w:tcPr>
          <w:p>
            <w:pPr>
              <w:rPr>
                <w:rStyle w:val="133"/>
                <w:rFonts w:ascii="宋体" w:hAnsi="宋体"/>
                <w:color w:val="000000"/>
                <w:kern w:val="0"/>
                <w:sz w:val="18"/>
              </w:rPr>
            </w:pPr>
            <w:r>
              <w:rPr>
                <w:rStyle w:val="133"/>
                <w:rFonts w:hint="eastAsia" w:ascii="宋体" w:hAnsi="宋体"/>
                <w:color w:val="000000"/>
                <w:kern w:val="0"/>
                <w:sz w:val="18"/>
              </w:rPr>
              <w:t>拉丝不锈钢切割，镀黑钛。</w:t>
            </w:r>
          </w:p>
        </w:tc>
        <w:tc>
          <w:tcPr>
            <w:tcW w:w="5812" w:type="dxa"/>
            <w:shd w:val="clear" w:color="auto" w:fill="auto"/>
            <w:vAlign w:val="center"/>
          </w:tcPr>
          <w:p>
            <w:pPr>
              <w:jc w:val="center"/>
              <w:rPr>
                <w:rStyle w:val="133"/>
                <w:rFonts w:ascii="宋体" w:hAnsi="宋体"/>
                <w:color w:val="000000"/>
                <w:kern w:val="0"/>
                <w:sz w:val="18"/>
              </w:rPr>
            </w:pPr>
            <w:r>
              <w:rPr>
                <w:rFonts w:ascii="宋体"/>
                <w:sz w:val="18"/>
              </w:rPr>
              <w:drawing>
                <wp:inline distT="0" distB="0" distL="0" distR="0">
                  <wp:extent cx="2427605" cy="1628775"/>
                  <wp:effectExtent l="0" t="0" r="0" b="0"/>
                  <wp:docPr id="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true" noChangeArrowheads="true"/>
                          </pic:cNvPicPr>
                        </pic:nvPicPr>
                        <pic:blipFill>
                          <a:blip r:embed="rId24">
                            <a:extLst>
                              <a:ext uri="{28A0092B-C50C-407E-A947-70E740481C1C}">
                                <a14:useLocalDpi xmlns:a14="http://schemas.microsoft.com/office/drawing/2010/main" val="false"/>
                              </a:ext>
                            </a:extLst>
                          </a:blip>
                          <a:srcRect r="26357"/>
                          <a:stretch>
                            <a:fillRect/>
                          </a:stretch>
                        </pic:blipFill>
                        <pic:spPr>
                          <a:xfrm>
                            <a:off x="0" y="0"/>
                            <a:ext cx="2435059" cy="1633637"/>
                          </a:xfrm>
                          <a:prstGeom prst="rect">
                            <a:avLst/>
                          </a:prstGeom>
                          <a:noFill/>
                          <a:ln>
                            <a:noFill/>
                          </a:ln>
                        </pic:spPr>
                      </pic:pic>
                    </a:graphicData>
                  </a:graphic>
                </wp:inline>
              </w:drawing>
            </w:r>
          </w:p>
        </w:tc>
        <w:tc>
          <w:tcPr>
            <w:tcW w:w="2835" w:type="dxa"/>
            <w:shd w:val="clear" w:color="auto" w:fill="auto"/>
            <w:vAlign w:val="center"/>
          </w:tcPr>
          <w:p>
            <w:pPr>
              <w:pStyle w:val="21"/>
              <w:ind w:firstLine="0" w:firstLineChars="0"/>
              <w:rPr>
                <w:sz w:val="18"/>
              </w:rPr>
            </w:pPr>
            <w:r>
              <w:rPr>
                <w:rStyle w:val="133"/>
                <w:rFonts w:hint="eastAsia" w:hAnsi="宋体"/>
                <w:color w:val="000000"/>
                <w:sz w:val="18"/>
              </w:rPr>
              <w:t>应设置于进门上方醒目位置，提示牌最高点距地面约2</w:t>
            </w:r>
            <w:r>
              <w:rPr>
                <w:rStyle w:val="133"/>
                <w:rFonts w:hAnsi="宋体"/>
                <w:color w:val="000000"/>
                <w:sz w:val="18"/>
              </w:rPr>
              <w:t> </w:t>
            </w:r>
            <w:r>
              <w:rPr>
                <w:rStyle w:val="133"/>
                <w:rFonts w:hint="eastAsia" w:hAnsi="宋体"/>
                <w:color w:val="000000"/>
                <w:sz w:val="18"/>
              </w:rPr>
              <w:t>m。</w:t>
            </w:r>
          </w:p>
        </w:tc>
      </w:tr>
    </w:tbl>
    <w:p>
      <w:pPr>
        <w:pStyle w:val="21"/>
        <w:ind w:firstLine="0" w:firstLineChars="0"/>
      </w:pPr>
    </w:p>
    <w:p>
      <w:pPr>
        <w:pStyle w:val="21"/>
        <w:ind w:firstLine="0" w:firstLineChars="0"/>
      </w:pPr>
    </w:p>
    <w:p>
      <w:pPr>
        <w:pStyle w:val="21"/>
        <w:ind w:firstLine="0" w:firstLineChars="0"/>
      </w:pPr>
    </w:p>
    <w:p>
      <w:pPr>
        <w:pStyle w:val="82"/>
        <w:numPr>
          <w:ilvl w:val="1"/>
          <w:numId w:val="18"/>
        </w:numPr>
        <w:spacing w:before="0" w:beforeLines="0" w:after="156"/>
        <w:ind w:left="0" w:right="840" w:rightChars="400" w:firstLine="0"/>
      </w:pPr>
      <w:r>
        <w:rPr>
          <w:rFonts w:hint="eastAsia"/>
        </w:rPr>
        <mc:AlternateContent>
          <mc:Choice Requires="wpg">
            <w:drawing>
              <wp:anchor distT="0" distB="0" distL="114300" distR="114300" simplePos="0" relativeHeight="251701248" behindDoc="0" locked="0" layoutInCell="1" allowOverlap="1">
                <wp:simplePos x="0" y="0"/>
                <wp:positionH relativeFrom="column">
                  <wp:posOffset>75565</wp:posOffset>
                </wp:positionH>
                <wp:positionV relativeFrom="paragraph">
                  <wp:posOffset>-304165</wp:posOffset>
                </wp:positionV>
                <wp:extent cx="9252585" cy="1440180"/>
                <wp:effectExtent l="0" t="0" r="24765" b="26670"/>
                <wp:wrapNone/>
                <wp:docPr id="22" name="Group 85"/>
                <wp:cNvGraphicFramePr/>
                <a:graphic xmlns:a="http://schemas.openxmlformats.org/drawingml/2006/main">
                  <a:graphicData uri="http://schemas.microsoft.com/office/word/2010/wordprocessingGroup">
                    <wpg:wgp>
                      <wpg:cNvGrpSpPr/>
                      <wpg:grpSpPr>
                        <a:xfrm>
                          <a:off x="0" y="0"/>
                          <a:ext cx="9252585" cy="1440180"/>
                          <a:chOff x="1134" y="1133"/>
                          <a:chExt cx="14571" cy="2268"/>
                        </a:xfrm>
                      </wpg:grpSpPr>
                      <wps:wsp>
                        <wps:cNvPr id="24" name="文本框 22"/>
                        <wps:cNvSpPr txBox="true">
                          <a:spLocks noChangeArrowheads="true"/>
                        </wps:cNvSpPr>
                        <wps:spPr bwMode="auto">
                          <a:xfrm>
                            <a:off x="1134" y="1355"/>
                            <a:ext cx="340" cy="1020"/>
                          </a:xfrm>
                          <a:prstGeom prst="rect">
                            <a:avLst/>
                          </a:prstGeom>
                          <a:solidFill>
                            <a:srgbClr val="FFFFFF"/>
                          </a:solidFill>
                          <a:ln w="6350">
                            <a:solidFill>
                              <a:srgbClr val="FFFFFF"/>
                            </a:solidFill>
                            <a:miter lim="800000"/>
                          </a:ln>
                        </wps:spPr>
                        <wps:txbx>
                          <w:txbxContent>
                            <w:p>
                              <w:pPr>
                                <w:jc w:val="left"/>
                                <w:rPr>
                                  <w:rFonts w:ascii="宋体" w:hAnsi="宋体"/>
                                  <w:sz w:val="18"/>
                                  <w:szCs w:val="18"/>
                                </w:rPr>
                              </w:pPr>
                              <w:r>
                                <w:rPr>
                                  <w:rFonts w:hint="eastAsia" w:ascii="宋体" w:hAnsi="宋体"/>
                                  <w:sz w:val="18"/>
                                  <w:szCs w:val="18"/>
                                </w:rPr>
                                <w:t>22</w:t>
                              </w:r>
                            </w:p>
                          </w:txbxContent>
                        </wps:txbx>
                        <wps:bodyPr rot="0" vert="vert" wrap="square" lIns="0" tIns="0" rIns="0" bIns="0" anchor="b" anchorCtr="false" upright="true">
                          <a:noAutofit/>
                        </wps:bodyPr>
                      </wps:wsp>
                      <wps:wsp>
                        <wps:cNvPr id="26" name="文本框 8"/>
                        <wps:cNvSpPr txBox="true">
                          <a:spLocks noChangeArrowheads="true"/>
                        </wps:cNvSpPr>
                        <wps:spPr bwMode="auto">
                          <a:xfrm>
                            <a:off x="15422" y="1133"/>
                            <a:ext cx="283" cy="2268"/>
                          </a:xfrm>
                          <a:prstGeom prst="rect">
                            <a:avLst/>
                          </a:prstGeom>
                          <a:solidFill>
                            <a:srgbClr val="FFFFFF"/>
                          </a:solidFill>
                          <a:ln w="6350">
                            <a:solidFill>
                              <a:srgbClr val="FFFFFF"/>
                            </a:solidFill>
                            <a:miter lim="800000"/>
                          </a:ln>
                        </wps:spPr>
                        <wps:txbx>
                          <w:txbxContent>
                            <w:p>
                              <w:pPr>
                                <w:jc w:val="left"/>
                                <w:rPr>
                                  <w:rFonts w:ascii="黑体" w:hAnsi="黑体" w:eastAsia="黑体"/>
                                  <w:szCs w:val="21"/>
                                </w:rPr>
                              </w:pPr>
                              <w:r>
                                <w:rPr>
                                  <w:rFonts w:ascii="黑体" w:hAnsi="黑体" w:eastAsia="黑体"/>
                                  <w:szCs w:val="21"/>
                                </w:rPr>
                                <w:t>DB</w:t>
                              </w:r>
                              <w:r>
                                <w:rPr>
                                  <w:rFonts w:hint="eastAsia" w:ascii="黑体" w:hAnsi="黑体" w:eastAsia="黑体"/>
                                  <w:szCs w:val="21"/>
                                </w:rPr>
                                <w:t>4302/T XXXX—XXXX</w:t>
                              </w:r>
                            </w:p>
                          </w:txbxContent>
                        </wps:txbx>
                        <wps:bodyPr rot="0" vert="vert" wrap="square" lIns="0" tIns="0" rIns="0" bIns="0" anchor="t" anchorCtr="false" upright="true">
                          <a:noAutofit/>
                        </wps:bodyPr>
                      </wps:wsp>
                    </wpg:wgp>
                  </a:graphicData>
                </a:graphic>
              </wp:anchor>
            </w:drawing>
          </mc:Choice>
          <mc:Fallback>
            <w:pict>
              <v:group id="Group 85" o:spid="_x0000_s1026" o:spt="203" style="position:absolute;left:0pt;margin-left:5.95pt;margin-top:-23.95pt;height:113.4pt;width:728.55pt;z-index:251701248;mso-width-relative:page;mso-height-relative:page;" coordorigin="1134,1133" coordsize="14571,2268" o:gfxdata="UEsFBgAAAAAAAAAAAAAAAAAAAAAAAFBLAwQKAAAAAACHTuJAAAAAAAAAAAAAAAAABAAAAGRycy9Q&#10;SwMEFAAAAAgAh07iQGewHQPaAAAACwEAAA8AAABkcnMvZG93bnJldi54bWxNj8FOwzAQRO9I/IO1&#10;SNxax1DaJsSpUAWcKiRaJMRtG2+TqLEdxW7S/j3bE9xmtE+zM/nqbFsxUB8a7zSoaQKCXOlN4yoN&#10;X7u3yRJEiOgMtt6RhgsFWBW3Nzlmxo/uk4ZtrASHuJChhjrGLpMylDVZDFPfkePbwfcWI9u+kqbH&#10;kcNtKx+SZC4tNo4/1NjRuqbyuD1ZDe8jji+P6nXYHA/ry8/u6eN7o0jr+zuVPIOIdI5/MFzrc3Uo&#10;uNPen5wJomWvUiY1TGYLFldgNk953Z7VYpmCLHL5f0PxC1BLAwQUAAAACACHTuJAfxGaOcUCAAAT&#10;CAAADgAAAGRycy9lMm9Eb2MueG1s7ZXLbtQwFIb3SLyD5T3NbTIMUTNVaWmFxKVS4QEcx7kIxza2&#10;Z5K+ALwBKzbsea4+B8dOMh1aIUG5rJiFx47t3+d85xz78GjoONoybVopchwdhBgxQWXZijrHb9+c&#10;PVphZCwRJeFSsBxfMYOP1g8fHPYqY7FsJC+ZRiAiTNarHDfWqiwIDG1YR8yBVEzAZCV1RywMdR2U&#10;mvSg3vEgDsNl0EtdKi0pMwa+no6TeO31q4pR+7qqDLOI5xhss77Vvi1cG6wPSVZropqWTmaQe1jR&#10;kVbAoTupU2IJ2uj2jlTXUi2NrOwBlV0gq6qlzPsA3kThLW/Otdwo70ud9bXaYQK0tzjdW5a+2l5o&#10;1JY5jmOMBOkgRv5YtEodnF7VGaw51+pSXejpQz2OnL9DpTv3D56gwWO92mFlg0UUPj6J0zgFOURh&#10;Lloswmg1gacNRMfti6JkgZGbjpJkDAptnk37o0X6OBp3x/Fy5aaD+eTAGbizp1eQReYGlPk9UJcN&#10;UczzNw7CDAosHUFdf/p4/fnr9ZcPCOB5Nn6dI4Xs8FSCY1ZvnALJjHoh6TuDhDxpiKjZsdaybxgp&#10;wUa/yHnl7IeDnIBDb2AXSBX9S1lCXMjGSq91C/oNvCT1QSPZjD5ZQNJ77GHsme/AkUxpY8+Z7JDr&#10;5FhDrXh1sn1h7Mh4XuIdkLwtz1rO/UDXxQnXaEugrs78bwqL2V/GBepzvEzScGSwP2d+TqJrLVwQ&#10;vO1yvArdbzqHi4mXQzTCskMxTFEoZHkF5LQcCx4uKOi4FqMeij3H5v2GaIYRfy4gAO5mmDt67hRz&#10;hwjaSLgzCozG7omFUUW4AYGN0m3dgPou0kIeQ6Cq1jN0QRyNmcyF9Byt/ft5urybp7549rLsn6Zp&#10;unB3zHdFPudpvEp+UOD/8/SX8xSS/A/lqb9d4eXxF+70SrqnbX/s8/rmLV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BYAAABkcnMvUEsB&#10;AhQAFAAAAAgAh07iQGewHQPaAAAACwEAAA8AAAAAAAAAAQAgAAAAOAAAAGRycy9kb3ducmV2Lnht&#10;bFBLAQIUABQAAAAIAIdO4kB/EZo5xQIAABMIAAAOAAAAAAAAAAEAIAAAAD8BAABkcnMvZTJvRG9j&#10;LnhtbFBLBQYAAAAABgAGAFkBAAB2BgAAAAA=&#10;">
                <o:lock v:ext="edit" aspectratio="f"/>
                <v:shape id="文本框 22" o:spid="_x0000_s1026" o:spt="202" type="#_x0000_t202" style="position:absolute;left:1134;top:1355;height:1020;width:340;v-text-anchor:bottom;" fillcolor="#FFFFFF" filled="t" stroked="t" coordsize="21600,21600" o:gfxdata="UEsFBgAAAAAAAAAAAAAAAAAAAAAAAFBLAwQKAAAAAACHTuJAAAAAAAAAAAAAAAAABAAAAGRycy9Q&#10;SwMEFAAAAAgAh07iQCDnnqm+AAAA2wAAAA8AAABkcnMvZG93bnJldi54bWxFj0FrwkAUhO8F/8Py&#10;BC+l2URKldTVg1DqQSxGD+ntkX3NBrNvQ3bV5N+7hUKPw8x8w6w2g23FjXrfOFaQJSkI4srphmsF&#10;59PHyxKED8gaW8ekYCQPm/XkaYW5dnc+0q0ItYgQ9jkqMCF0uZS+MmTRJ64jjt6P6y2GKPta6h7v&#10;EW5bOU/TN2mx4bhgsKOtoepSXK2CZ3MsDzr4TzTZ17ct94uxLRZKzaZZ+g4i0BD+w3/tnVYwf4Xf&#10;L/EHyP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Dnnqm+AAAA2wAAAA8AAAAAAAAAAQAgAAAAOAAAAGRycy9kb3ducmV2&#10;LnhtbFBLAQIUABQAAAAIAIdO4kAzLwWeOwAAADkAAAAQAAAAAAAAAAEAIAAAACMBAABkcnMvc2hh&#10;cGV4bWwueG1sUEsFBgAAAAAGAAYAWwEAAM0DAAAAAA==&#10;">
                  <v:fill on="t" focussize="0,0"/>
                  <v:stroke weight="0.5pt" color="#FFFFFF" miterlimit="8" joinstyle="miter"/>
                  <v:imagedata o:title=""/>
                  <o:lock v:ext="edit" aspectratio="f"/>
                  <v:textbox inset="0mm,0mm,0mm,0mm" style="layout-flow:vertical;">
                    <w:txbxContent>
                      <w:p>
                        <w:pPr>
                          <w:jc w:val="left"/>
                          <w:rPr>
                            <w:rFonts w:ascii="宋体" w:hAnsi="宋体"/>
                            <w:sz w:val="18"/>
                            <w:szCs w:val="18"/>
                          </w:rPr>
                        </w:pPr>
                        <w:r>
                          <w:rPr>
                            <w:rFonts w:hint="eastAsia" w:ascii="宋体" w:hAnsi="宋体"/>
                            <w:sz w:val="18"/>
                            <w:szCs w:val="18"/>
                          </w:rPr>
                          <w:t>22</w:t>
                        </w:r>
                      </w:p>
                    </w:txbxContent>
                  </v:textbox>
                </v:shape>
                <v:shape id="文本框 8" o:spid="_x0000_s1026" o:spt="202" type="#_x0000_t202" style="position:absolute;left:15422;top:1133;height:2268;width:283;" fillcolor="#FFFFFF" filled="t" stroked="t" coordsize="21600,21600" o:gfxdata="UEsFBgAAAAAAAAAAAAAAAAAAAAAAAFBLAwQKAAAAAACHTuJAAAAAAAAAAAAAAAAABAAAAGRycy9Q&#10;SwMEFAAAAAgAh07iQEgRIji9AAAA2wAAAA8AAABkcnMvZG93bnJldi54bWxFj0tvwjAQhO9I/Adr&#10;kXoDh6iiVYpBPIRUjgQuvW3jJYkSr4Pt8Pj3NRJSj6OZ+UYzX95NK67kfG1ZwXSSgCAurK65VHA6&#10;7safIHxA1thaJgUP8rBcDAdzzLS98YGueShFhLDPUEEVQpdJ6YuKDPqJ7Yijd7bOYIjSlVI7vEW4&#10;aWWaJDNpsOa4UGFHm4qKJu+Ngvem3/d4WaU7fWz69ePn9yPfOqXeRtPkC0Sge/gPv9rfWkE6g+eX&#10;+APk4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BEiOL0AAADbAAAADwAAAAAAAAABACAAAAA4AAAAZHJzL2Rvd25yZXYu&#10;eG1sUEsBAhQAFAAAAAgAh07iQDMvBZ47AAAAOQAAABAAAAAAAAAAAQAgAAAAIgEAAGRycy9zaGFw&#10;ZXhtbC54bWxQSwUGAAAAAAYABgBbAQAAzAMAAAAA&#10;">
                  <v:fill on="t" focussize="0,0"/>
                  <v:stroke weight="0.5pt" color="#FFFFFF" miterlimit="8" joinstyle="miter"/>
                  <v:imagedata o:title=""/>
                  <o:lock v:ext="edit" aspectratio="f"/>
                  <v:textbox inset="0mm,0mm,0mm,0mm" style="layout-flow:vertical;">
                    <w:txbxContent>
                      <w:p>
                        <w:pPr>
                          <w:jc w:val="left"/>
                          <w:rPr>
                            <w:rFonts w:ascii="黑体" w:hAnsi="黑体" w:eastAsia="黑体"/>
                            <w:szCs w:val="21"/>
                          </w:rPr>
                        </w:pPr>
                        <w:r>
                          <w:rPr>
                            <w:rFonts w:ascii="黑体" w:hAnsi="黑体" w:eastAsia="黑体"/>
                            <w:szCs w:val="21"/>
                          </w:rPr>
                          <w:t>DB</w:t>
                        </w:r>
                        <w:r>
                          <w:rPr>
                            <w:rFonts w:hint="eastAsia" w:ascii="黑体" w:hAnsi="黑体" w:eastAsia="黑体"/>
                            <w:szCs w:val="21"/>
                          </w:rPr>
                          <w:t>4302/T XXXX—XXXX</w:t>
                        </w:r>
                      </w:p>
                    </w:txbxContent>
                  </v:textbox>
                </v:shape>
              </v:group>
            </w:pict>
          </mc:Fallback>
        </mc:AlternateContent>
      </w:r>
      <w:r>
        <w:rPr>
          <w:rFonts w:hint="eastAsia"/>
        </w:rPr>
        <w:t>驿站标识牌</w:t>
      </w:r>
      <w:r>
        <w:rPr>
          <w:rFonts w:hint="eastAsia" w:ascii="宋体" w:hAnsi="宋体" w:eastAsia="宋体"/>
        </w:rPr>
        <w:t>（续）</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3685"/>
        <w:gridCol w:w="5812"/>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2" w:type="dxa"/>
            <w:shd w:val="clear" w:color="auto" w:fill="auto"/>
            <w:vAlign w:val="center"/>
          </w:tcPr>
          <w:p>
            <w:pPr>
              <w:pStyle w:val="21"/>
              <w:ind w:firstLine="0" w:firstLineChars="0"/>
              <w:jc w:val="center"/>
              <w:rPr>
                <w:sz w:val="18"/>
                <w:szCs w:val="18"/>
              </w:rPr>
            </w:pPr>
            <w:r>
              <w:rPr>
                <w:rFonts w:hint="eastAsia"/>
                <w:sz w:val="18"/>
                <w:szCs w:val="18"/>
              </w:rPr>
              <w:t>种类</w:t>
            </w:r>
          </w:p>
        </w:tc>
        <w:tc>
          <w:tcPr>
            <w:tcW w:w="3685" w:type="dxa"/>
            <w:shd w:val="clear" w:color="auto" w:fill="auto"/>
            <w:vAlign w:val="center"/>
          </w:tcPr>
          <w:p>
            <w:pPr>
              <w:pStyle w:val="21"/>
              <w:ind w:firstLine="0" w:firstLineChars="0"/>
              <w:jc w:val="center"/>
              <w:rPr>
                <w:sz w:val="18"/>
                <w:szCs w:val="18"/>
              </w:rPr>
            </w:pPr>
            <w:r>
              <w:rPr>
                <w:rFonts w:hint="eastAsia"/>
                <w:sz w:val="18"/>
                <w:szCs w:val="18"/>
              </w:rPr>
              <w:t>设计要求</w:t>
            </w:r>
          </w:p>
        </w:tc>
        <w:tc>
          <w:tcPr>
            <w:tcW w:w="5812" w:type="dxa"/>
            <w:shd w:val="clear" w:color="auto" w:fill="auto"/>
            <w:vAlign w:val="center"/>
          </w:tcPr>
          <w:p>
            <w:pPr>
              <w:pStyle w:val="21"/>
              <w:ind w:firstLine="0" w:firstLineChars="0"/>
              <w:jc w:val="center"/>
              <w:rPr>
                <w:sz w:val="18"/>
                <w:szCs w:val="18"/>
              </w:rPr>
            </w:pPr>
            <w:r>
              <w:rPr>
                <w:rFonts w:hint="eastAsia"/>
                <w:sz w:val="18"/>
                <w:szCs w:val="18"/>
              </w:rPr>
              <w:t>设计图样</w:t>
            </w:r>
          </w:p>
        </w:tc>
        <w:tc>
          <w:tcPr>
            <w:tcW w:w="2835" w:type="dxa"/>
            <w:shd w:val="clear" w:color="auto" w:fill="auto"/>
            <w:vAlign w:val="center"/>
          </w:tcPr>
          <w:p>
            <w:pPr>
              <w:pStyle w:val="21"/>
              <w:ind w:firstLine="0" w:firstLineChars="0"/>
              <w:jc w:val="center"/>
              <w:rPr>
                <w:sz w:val="18"/>
                <w:szCs w:val="18"/>
              </w:rPr>
            </w:pPr>
            <w:r>
              <w:rPr>
                <w:rFonts w:hint="eastAsia"/>
                <w:sz w:val="18"/>
                <w:szCs w:val="18"/>
              </w:rPr>
              <w:t>设置要求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7" w:hRule="atLeast"/>
          <w:jc w:val="center"/>
        </w:trPr>
        <w:tc>
          <w:tcPr>
            <w:tcW w:w="992" w:type="dxa"/>
            <w:shd w:val="clear" w:color="auto" w:fill="auto"/>
            <w:vAlign w:val="center"/>
          </w:tcPr>
          <w:p>
            <w:pPr>
              <w:jc w:val="center"/>
              <w:rPr>
                <w:rFonts w:ascii="宋体"/>
                <w:sz w:val="18"/>
              </w:rPr>
            </w:pPr>
            <w:r>
              <w:rPr>
                <w:rFonts w:hint="eastAsia" w:ascii="宋体"/>
                <w:sz w:val="18"/>
              </w:rPr>
              <w:t>母婴室</w:t>
            </w:r>
          </w:p>
        </w:tc>
        <w:tc>
          <w:tcPr>
            <w:tcW w:w="3685" w:type="dxa"/>
            <w:shd w:val="clear" w:color="auto" w:fill="auto"/>
            <w:vAlign w:val="center"/>
          </w:tcPr>
          <w:p>
            <w:pPr>
              <w:ind w:firstLine="180" w:firstLineChars="100"/>
              <w:rPr>
                <w:rFonts w:ascii="宋体" w:hAnsi="宋体"/>
                <w:color w:val="000000"/>
                <w:kern w:val="0"/>
                <w:sz w:val="18"/>
              </w:rPr>
            </w:pPr>
            <w:r>
              <w:rPr>
                <w:rStyle w:val="133"/>
                <w:rFonts w:hint="eastAsia" w:ascii="宋体" w:hAnsi="宋体"/>
                <w:color w:val="000000"/>
                <w:kern w:val="0"/>
                <w:sz w:val="18"/>
              </w:rPr>
              <w:t>拉丝不锈钢切割，镀黑钛。</w:t>
            </w:r>
          </w:p>
        </w:tc>
        <w:tc>
          <w:tcPr>
            <w:tcW w:w="5812" w:type="dxa"/>
            <w:shd w:val="clear" w:color="auto" w:fill="auto"/>
            <w:vAlign w:val="center"/>
          </w:tcPr>
          <w:p>
            <w:pPr>
              <w:jc w:val="center"/>
              <w:rPr>
                <w:rFonts w:ascii="宋体"/>
                <w:sz w:val="18"/>
              </w:rPr>
            </w:pPr>
            <w:r>
              <w:rPr>
                <w:rFonts w:ascii="宋体"/>
                <w:sz w:val="18"/>
              </w:rPr>
              <w:drawing>
                <wp:inline distT="0" distB="0" distL="0" distR="0">
                  <wp:extent cx="3185160" cy="1790700"/>
                  <wp:effectExtent l="0" t="0" r="0" b="0"/>
                  <wp:docPr id="1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true" noChangeArrowheads="true"/>
                          </pic:cNvPicPr>
                        </pic:nvPicPr>
                        <pic:blipFill>
                          <a:blip r:embed="rId25">
                            <a:extLst>
                              <a:ext uri="{28A0092B-C50C-407E-A947-70E740481C1C}">
                                <a14:useLocalDpi xmlns:a14="http://schemas.microsoft.com/office/drawing/2010/main" val="false"/>
                              </a:ext>
                            </a:extLst>
                          </a:blip>
                          <a:srcRect/>
                          <a:stretch>
                            <a:fillRect/>
                          </a:stretch>
                        </pic:blipFill>
                        <pic:spPr>
                          <a:xfrm>
                            <a:off x="0" y="0"/>
                            <a:ext cx="3192678" cy="1794617"/>
                          </a:xfrm>
                          <a:prstGeom prst="rect">
                            <a:avLst/>
                          </a:prstGeom>
                          <a:noFill/>
                          <a:ln>
                            <a:noFill/>
                          </a:ln>
                        </pic:spPr>
                      </pic:pic>
                    </a:graphicData>
                  </a:graphic>
                </wp:inline>
              </w:drawing>
            </w:r>
          </w:p>
        </w:tc>
        <w:tc>
          <w:tcPr>
            <w:tcW w:w="2835" w:type="dxa"/>
            <w:vMerge w:val="restart"/>
            <w:shd w:val="clear" w:color="auto" w:fill="auto"/>
            <w:vAlign w:val="center"/>
          </w:tcPr>
          <w:p>
            <w:pPr>
              <w:pStyle w:val="21"/>
              <w:ind w:firstLine="0" w:firstLineChars="0"/>
              <w:rPr>
                <w:sz w:val="18"/>
              </w:rPr>
            </w:pPr>
            <w:r>
              <w:rPr>
                <w:rStyle w:val="133"/>
                <w:rFonts w:hint="eastAsia" w:hAnsi="宋体"/>
                <w:color w:val="000000"/>
                <w:sz w:val="18"/>
              </w:rPr>
              <w:t>应位于进门上方醒目位置，提示牌最高点距地面约2</w:t>
            </w:r>
            <w:r>
              <w:rPr>
                <w:rStyle w:val="133"/>
                <w:rFonts w:hAnsi="宋体"/>
                <w:color w:val="000000"/>
                <w:sz w:val="18"/>
              </w:rPr>
              <w:t> </w:t>
            </w:r>
            <w:r>
              <w:rPr>
                <w:rStyle w:val="133"/>
                <w:rFonts w:hint="eastAsia" w:hAnsi="宋体"/>
                <w:color w:val="000000"/>
                <w:sz w:val="1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4" w:hRule="atLeast"/>
          <w:jc w:val="center"/>
        </w:trPr>
        <w:tc>
          <w:tcPr>
            <w:tcW w:w="992" w:type="dxa"/>
            <w:shd w:val="clear" w:color="auto" w:fill="auto"/>
            <w:vAlign w:val="center"/>
          </w:tcPr>
          <w:p>
            <w:pPr>
              <w:jc w:val="center"/>
              <w:rPr>
                <w:rStyle w:val="133"/>
                <w:rFonts w:ascii="宋体" w:hAnsi="宋体"/>
                <w:color w:val="000000"/>
                <w:sz w:val="18"/>
                <w:szCs w:val="18"/>
              </w:rPr>
            </w:pPr>
            <w:r>
              <w:rPr>
                <w:rFonts w:hint="eastAsia" w:ascii="宋体"/>
                <w:sz w:val="18"/>
              </w:rPr>
              <w:t>第三卫生间</w:t>
            </w:r>
          </w:p>
        </w:tc>
        <w:tc>
          <w:tcPr>
            <w:tcW w:w="3685" w:type="dxa"/>
            <w:shd w:val="clear" w:color="auto" w:fill="auto"/>
            <w:vAlign w:val="center"/>
          </w:tcPr>
          <w:p>
            <w:pPr>
              <w:ind w:firstLine="180" w:firstLineChars="100"/>
              <w:rPr>
                <w:rStyle w:val="133"/>
                <w:rFonts w:ascii="宋体" w:hAnsi="宋体"/>
                <w:color w:val="000000"/>
                <w:kern w:val="0"/>
                <w:sz w:val="18"/>
              </w:rPr>
            </w:pPr>
            <w:r>
              <w:rPr>
                <w:rStyle w:val="133"/>
                <w:rFonts w:hint="eastAsia" w:ascii="宋体" w:hAnsi="宋体"/>
                <w:color w:val="000000"/>
                <w:kern w:val="0"/>
                <w:sz w:val="18"/>
              </w:rPr>
              <w:t>拉丝不锈钢切割，镀黑钛。</w:t>
            </w:r>
          </w:p>
        </w:tc>
        <w:tc>
          <w:tcPr>
            <w:tcW w:w="5812" w:type="dxa"/>
            <w:shd w:val="clear" w:color="auto" w:fill="auto"/>
            <w:vAlign w:val="center"/>
          </w:tcPr>
          <w:p>
            <w:pPr>
              <w:jc w:val="center"/>
              <w:rPr>
                <w:rStyle w:val="133"/>
                <w:rFonts w:ascii="宋体" w:hAnsi="宋体"/>
                <w:color w:val="000000"/>
                <w:kern w:val="0"/>
                <w:sz w:val="18"/>
              </w:rPr>
            </w:pPr>
            <w:r>
              <w:rPr>
                <w:rFonts w:ascii="宋体"/>
                <w:sz w:val="18"/>
              </w:rPr>
              <w:drawing>
                <wp:inline distT="0" distB="0" distL="0" distR="0">
                  <wp:extent cx="3538855" cy="2038350"/>
                  <wp:effectExtent l="0" t="0" r="4445" b="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noChangeArrowheads="true"/>
                          </pic:cNvPicPr>
                        </pic:nvPicPr>
                        <pic:blipFill>
                          <a:blip r:embed="rId26">
                            <a:extLst>
                              <a:ext uri="{28A0092B-C50C-407E-A947-70E740481C1C}">
                                <a14:useLocalDpi xmlns:a14="http://schemas.microsoft.com/office/drawing/2010/main" val="false"/>
                              </a:ext>
                            </a:extLst>
                          </a:blip>
                          <a:srcRect/>
                          <a:stretch>
                            <a:fillRect/>
                          </a:stretch>
                        </pic:blipFill>
                        <pic:spPr>
                          <a:xfrm>
                            <a:off x="0" y="0"/>
                            <a:ext cx="3539636" cy="2038623"/>
                          </a:xfrm>
                          <a:prstGeom prst="rect">
                            <a:avLst/>
                          </a:prstGeom>
                          <a:noFill/>
                          <a:ln>
                            <a:noFill/>
                          </a:ln>
                        </pic:spPr>
                      </pic:pic>
                    </a:graphicData>
                  </a:graphic>
                </wp:inline>
              </w:drawing>
            </w:r>
          </w:p>
        </w:tc>
        <w:tc>
          <w:tcPr>
            <w:tcW w:w="2835" w:type="dxa"/>
            <w:vMerge w:val="continue"/>
            <w:shd w:val="clear" w:color="auto" w:fill="auto"/>
            <w:vAlign w:val="center"/>
          </w:tcPr>
          <w:p>
            <w:pPr>
              <w:pStyle w:val="21"/>
              <w:ind w:firstLine="180" w:firstLineChars="100"/>
              <w:rPr>
                <w:sz w:val="18"/>
              </w:rPr>
            </w:pPr>
          </w:p>
        </w:tc>
      </w:tr>
    </w:tbl>
    <w:p>
      <w:pPr>
        <w:pStyle w:val="21"/>
        <w:ind w:firstLine="0" w:firstLineChars="0"/>
      </w:pPr>
    </w:p>
    <w:p>
      <w:pPr>
        <w:pStyle w:val="21"/>
      </w:pPr>
    </w:p>
    <w:p>
      <w:pPr>
        <w:pStyle w:val="21"/>
      </w:pPr>
    </w:p>
    <w:p>
      <w:pPr>
        <w:pStyle w:val="82"/>
        <w:numPr>
          <w:ilvl w:val="1"/>
          <w:numId w:val="19"/>
        </w:numPr>
        <w:spacing w:before="156" w:after="156"/>
        <w:ind w:left="0" w:right="840" w:rightChars="400" w:firstLine="0"/>
      </w:pPr>
      <w:r>
        <w:rPr>
          <w:rFonts w:hint="eastAsia"/>
        </w:rPr>
        <w:t>驿站标识牌</w:t>
      </w:r>
      <w:r>
        <w:rPr>
          <w:rFonts w:hint="eastAsia" w:ascii="宋体" w:hAnsi="宋体" w:eastAsia="宋体"/>
        </w:rPr>
        <w:t>（续）</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2495"/>
        <w:gridCol w:w="793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0" w:type="dxa"/>
            <w:shd w:val="clear" w:color="auto" w:fill="auto"/>
            <w:vAlign w:val="center"/>
          </w:tcPr>
          <w:p>
            <w:pPr>
              <w:pStyle w:val="21"/>
              <w:ind w:firstLine="0" w:firstLineChars="0"/>
              <w:jc w:val="center"/>
              <w:rPr>
                <w:sz w:val="18"/>
                <w:szCs w:val="18"/>
              </w:rPr>
            </w:pPr>
            <w:r>
              <w:rPr>
                <w:rFonts w:hint="eastAsia"/>
                <w:sz w:val="18"/>
                <w:szCs w:val="18"/>
              </w:rPr>
              <w:t>种类</w:t>
            </w:r>
          </w:p>
        </w:tc>
        <w:tc>
          <w:tcPr>
            <w:tcW w:w="2495" w:type="dxa"/>
            <w:shd w:val="clear" w:color="auto" w:fill="auto"/>
            <w:vAlign w:val="center"/>
          </w:tcPr>
          <w:p>
            <w:pPr>
              <w:pStyle w:val="21"/>
              <w:ind w:firstLine="0" w:firstLineChars="0"/>
              <w:jc w:val="center"/>
              <w:rPr>
                <w:sz w:val="18"/>
                <w:szCs w:val="18"/>
              </w:rPr>
            </w:pPr>
            <w:r>
              <w:rPr>
                <w:rFonts w:hint="eastAsia"/>
                <w:sz w:val="18"/>
                <w:szCs w:val="18"/>
              </w:rPr>
              <w:t>设计要求</w:t>
            </w:r>
          </w:p>
        </w:tc>
        <w:tc>
          <w:tcPr>
            <w:tcW w:w="7938" w:type="dxa"/>
            <w:shd w:val="clear" w:color="auto" w:fill="auto"/>
            <w:vAlign w:val="center"/>
          </w:tcPr>
          <w:p>
            <w:pPr>
              <w:pStyle w:val="21"/>
              <w:ind w:firstLine="0" w:firstLineChars="0"/>
              <w:jc w:val="center"/>
              <w:rPr>
                <w:sz w:val="18"/>
                <w:szCs w:val="18"/>
              </w:rPr>
            </w:pPr>
            <w:r>
              <w:rPr>
                <w:rFonts w:hint="eastAsia"/>
                <w:sz w:val="18"/>
                <w:szCs w:val="18"/>
              </w:rPr>
              <w:t>设计图样</w:t>
            </w:r>
          </w:p>
        </w:tc>
        <w:tc>
          <w:tcPr>
            <w:tcW w:w="1701" w:type="dxa"/>
            <w:shd w:val="clear" w:color="auto" w:fill="auto"/>
            <w:vAlign w:val="center"/>
          </w:tcPr>
          <w:p>
            <w:pPr>
              <w:pStyle w:val="21"/>
              <w:ind w:firstLine="0" w:firstLineChars="0"/>
              <w:jc w:val="center"/>
              <w:rPr>
                <w:sz w:val="18"/>
                <w:szCs w:val="18"/>
              </w:rPr>
            </w:pPr>
            <w:r>
              <w:rPr>
                <w:rFonts w:hint="eastAsia"/>
                <w:sz w:val="18"/>
                <w:szCs w:val="18"/>
              </w:rPr>
              <w:t>设置要求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9" w:hRule="atLeast"/>
          <w:jc w:val="center"/>
        </w:trPr>
        <w:tc>
          <w:tcPr>
            <w:tcW w:w="1190" w:type="dxa"/>
            <w:vMerge w:val="restart"/>
            <w:shd w:val="clear" w:color="auto" w:fill="auto"/>
            <w:vAlign w:val="center"/>
          </w:tcPr>
          <w:p>
            <w:pPr>
              <w:jc w:val="center"/>
              <w:rPr>
                <w:rFonts w:ascii="宋体"/>
                <w:sz w:val="18"/>
              </w:rPr>
            </w:pPr>
            <w:r>
              <w:rPr>
                <w:rFonts w:hint="eastAsia"/>
              </w:rPr>
              <mc:AlternateContent>
                <mc:Choice Requires="wpg">
                  <w:drawing>
                    <wp:anchor distT="0" distB="0" distL="114300" distR="114300" simplePos="0" relativeHeight="251659264" behindDoc="0" locked="0" layoutInCell="1" allowOverlap="1">
                      <wp:simplePos x="0" y="0"/>
                      <wp:positionH relativeFrom="column">
                        <wp:posOffset>-528320</wp:posOffset>
                      </wp:positionH>
                      <wp:positionV relativeFrom="paragraph">
                        <wp:posOffset>4039235</wp:posOffset>
                      </wp:positionV>
                      <wp:extent cx="9252585" cy="1440180"/>
                      <wp:effectExtent l="0" t="0" r="24765" b="26670"/>
                      <wp:wrapNone/>
                      <wp:docPr id="101" name="Group 97"/>
                      <wp:cNvGraphicFramePr/>
                      <a:graphic xmlns:a="http://schemas.openxmlformats.org/drawingml/2006/main">
                        <a:graphicData uri="http://schemas.microsoft.com/office/word/2010/wordprocessingGroup">
                          <wpg:wgp>
                            <wpg:cNvGrpSpPr/>
                            <wpg:grpSpPr>
                              <a:xfrm>
                                <a:off x="0" y="0"/>
                                <a:ext cx="9252585" cy="1440180"/>
                                <a:chOff x="1134" y="1133"/>
                                <a:chExt cx="14571" cy="2268"/>
                              </a:xfrm>
                            </wpg:grpSpPr>
                            <wps:wsp>
                              <wps:cNvPr id="102" name="文本框 22"/>
                              <wps:cNvSpPr txBox="true">
                                <a:spLocks noChangeArrowheads="true"/>
                              </wps:cNvSpPr>
                              <wps:spPr bwMode="auto">
                                <a:xfrm>
                                  <a:off x="1134" y="2276"/>
                                  <a:ext cx="340" cy="1020"/>
                                </a:xfrm>
                                <a:prstGeom prst="rect">
                                  <a:avLst/>
                                </a:prstGeom>
                                <a:solidFill>
                                  <a:srgbClr val="FFFFFF"/>
                                </a:solidFill>
                                <a:ln w="6350">
                                  <a:solidFill>
                                    <a:srgbClr val="FFFFFF"/>
                                  </a:solidFill>
                                  <a:miter lim="800000"/>
                                </a:ln>
                              </wps:spPr>
                              <wps:txbx>
                                <w:txbxContent>
                                  <w:p>
                                    <w:pPr>
                                      <w:jc w:val="right"/>
                                      <w:rPr>
                                        <w:rFonts w:ascii="宋体" w:hAnsi="宋体"/>
                                        <w:sz w:val="18"/>
                                        <w:szCs w:val="18"/>
                                      </w:rPr>
                                    </w:pPr>
                                    <w:r>
                                      <w:rPr>
                                        <w:rFonts w:hint="eastAsia" w:ascii="宋体" w:hAnsi="宋体"/>
                                        <w:sz w:val="18"/>
                                        <w:szCs w:val="18"/>
                                      </w:rPr>
                                      <w:t>23</w:t>
                                    </w:r>
                                  </w:p>
                                </w:txbxContent>
                              </wps:txbx>
                              <wps:bodyPr rot="0" vert="vert" wrap="square" lIns="0" tIns="0" rIns="0" bIns="0" anchor="b" anchorCtr="false" upright="true">
                                <a:noAutofit/>
                              </wps:bodyPr>
                            </wps:wsp>
                            <wps:wsp>
                              <wps:cNvPr id="103" name="文本框 8"/>
                              <wps:cNvSpPr txBox="true">
                                <a:spLocks noChangeArrowheads="true"/>
                              </wps:cNvSpPr>
                              <wps:spPr bwMode="auto">
                                <a:xfrm>
                                  <a:off x="15422" y="1133"/>
                                  <a:ext cx="283" cy="2268"/>
                                </a:xfrm>
                                <a:prstGeom prst="rect">
                                  <a:avLst/>
                                </a:prstGeom>
                                <a:solidFill>
                                  <a:srgbClr val="FFFFFF"/>
                                </a:solidFill>
                                <a:ln w="6350">
                                  <a:solidFill>
                                    <a:srgbClr val="FFFFFF"/>
                                  </a:solidFill>
                                  <a:miter lim="800000"/>
                                </a:ln>
                              </wps:spPr>
                              <wps:txbx>
                                <w:txbxContent>
                                  <w:p>
                                    <w:pPr>
                                      <w:jc w:val="left"/>
                                      <w:rPr>
                                        <w:rFonts w:ascii="黑体" w:hAnsi="黑体" w:eastAsia="黑体"/>
                                        <w:szCs w:val="21"/>
                                      </w:rPr>
                                    </w:pPr>
                                    <w:r>
                                      <w:rPr>
                                        <w:rFonts w:ascii="黑体" w:hAnsi="黑体" w:eastAsia="黑体"/>
                                        <w:szCs w:val="21"/>
                                      </w:rPr>
                                      <w:t>DB</w:t>
                                    </w:r>
                                    <w:r>
                                      <w:rPr>
                                        <w:rFonts w:hint="eastAsia" w:ascii="黑体" w:hAnsi="黑体" w:eastAsia="黑体"/>
                                        <w:szCs w:val="21"/>
                                      </w:rPr>
                                      <w:t>4302/T XXXX—XXXX</w:t>
                                    </w:r>
                                  </w:p>
                                </w:txbxContent>
                              </wps:txbx>
                              <wps:bodyPr rot="0" vert="vert" wrap="square" lIns="0" tIns="0" rIns="0" bIns="0" anchor="t" anchorCtr="false" upright="true">
                                <a:noAutofit/>
                              </wps:bodyPr>
                            </wps:wsp>
                          </wpg:wgp>
                        </a:graphicData>
                      </a:graphic>
                    </wp:anchor>
                  </w:drawing>
                </mc:Choice>
                <mc:Fallback>
                  <w:pict>
                    <v:group id="Group 97" o:spid="_x0000_s1026" o:spt="203" style="position:absolute;left:0pt;margin-left:-41.6pt;margin-top:318.05pt;height:113.4pt;width:728.55pt;z-index:251659264;mso-width-relative:page;mso-height-relative:page;" coordorigin="1134,1133" coordsize="14571,2268" o:gfxdata="UEsFBgAAAAAAAAAAAAAAAAAAAAAAAFBLAwQKAAAAAACHTuJAAAAAAAAAAAAAAAAABAAAAGRycy9Q&#10;SwMEFAAAAAgAh07iQKwC9yrcAAAADAEAAA8AAABkcnMvZG93bnJldi54bWxNj8FqwzAQRO+F/oPY&#10;QG+JLJu6juN1KKHtKRSSFEpvirWxTSzJWIqd/H2VU3tc5jHztlhfdcdGGlxrDYJYRMDIVFa1pkb4&#10;OrzPM2DOS6NkZw0h3MjBunx8KGSu7GR2NO59zUKJcblEaLzvc85d1ZCWbmF7MiE72UFLH86h5mqQ&#10;UyjXHY+jKOVatiYsNLKnTUPVeX/RCB+TnF4T8TZuz6fN7efw/Pm9FYT4NBPRCpinq/+D4a4f1KEM&#10;Tkd7McqxDmGeJXFAEdIkFcDuRPKSLIEdEbI0XgIvC/7/ifIXUEsDBBQAAAAIAIdO4kAW5aAuyAIA&#10;ABYIAAAOAAAAZHJzL2Uyb0RvYy54bWztlc1u1DAQx+9IvIPlO83HfnQbNVuVllZIBSoVHsBxnMQi&#10;sY3t3aQvQN+AExfuPFefg7Hz0aXlAAX1xB68dmyPZ37zH/vwqGtqtGXacClSHO2FGDFBZc5FmeIP&#10;789erDAyloic1FKwFF8zg4/Wz58dtiphsaxknTONwIgwSatSXFmrkiAwtGINMXtSMQGThdQNsTDU&#10;ZZBr0oL1pg7iMFwGrdS50pIyY+DraT+J195+UTBq3xWFYRbVKQbfrG+1bzPXButDkpSaqIrTwQ3y&#10;CC8awgUcOpk6JZagjeYPTDWcamlkYfeobAJZFJwyHwNEE4X3ojnXcqN8LGXSlmrCBGjvcXq0Wfp2&#10;e6kRzyF3YYSRIA0kyZ+LDvYdnVaVCSw61+pKXerhQ9mPXMBdoRv3D6GgznO9nriyziIKHw/iRbxY&#10;LTCiMBfN52G0GsjTCtLj9kXRbI6Rm45msz4rtHo17I/mi31wzu2O4+XKTQfjyYFzcPKnVSAjc0fK&#10;/B2pq4oo5hNgHISJVDySuv1yc/v1++23zyiOe1p+oUOFbPdSQmRWb5wJkhh1IelHg4Q8qYgo2bHW&#10;sq0YycFJv8iF5QKAk5wBx97ALjCVtW9kDokhGyu9rXvUJ3pxvL/s6Y3sZ3OQvecexh76RI4kSht7&#10;zmSDXCfFGqrFWyfbC2N7yOMSH4CseX7G69oPdJmd1BptCVTWmf8NeTG7y2qB2hQvZ4uwZ7A7Z37P&#10;RMMtXBE1b1K8Ct1vOKcWAy+HqIdlu6zzEjVJJvNrIKdlX/JwRUHHtRi1UO4pNp82RDOM6tcCEuDu&#10;hrGjx042doiglYRbI8Oo755YGBWkNmBgozQvK7A+ZVrIY0hUwT1Dl8TemcFd0Gfv7RMIdfZQqL58&#10;dmT2pDpdzKFOfi7zUajxCpz9ZYn/F+ofCxVU/o+E6u9XeHz8lTs8lO512x17Yd895+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FgAAAGRy&#10;cy9QSwECFAAUAAAACACHTuJArAL3KtwAAAAMAQAADwAAAAAAAAABACAAAAA4AAAAZHJzL2Rvd25y&#10;ZXYueG1sUEsBAhQAFAAAAAgAh07iQBbloC7IAgAAFggAAA4AAAAAAAAAAQAgAAAAQQEAAGRycy9l&#10;Mm9Eb2MueG1sUEsFBgAAAAAGAAYAWQEAAHsGAAAAAA==&#10;">
                      <o:lock v:ext="edit" aspectratio="f"/>
                      <v:shape id="文本框 22" o:spid="_x0000_s1026" o:spt="202" type="#_x0000_t202" style="position:absolute;left:1134;top:2276;height:1020;width:340;v-text-anchor:bottom;" fillcolor="#FFFFFF" filled="t" stroked="t" coordsize="21600,21600" o:gfxdata="UEsFBgAAAAAAAAAAAAAAAAAAAAAAAFBLAwQKAAAAAACHTuJAAAAAAAAAAAAAAAAABAAAAGRycy9Q&#10;SwMEFAAAAAgAh07iQE73H+m9AAAA3AAAAA8AAABkcnMvZG93bnJldi54bWxFTz1rwzAQ3Qv5D+IC&#10;WUotOUNS3CgZAqEdSkrcDu52WBfLxDoZS03sf18FCt3u8T5vsxtdJ640hNazhjxTIIhrb1puNHx9&#10;Hp6eQYSIbLDzTBomCrDbzh42WBh/4xNdy9iIFMKhQA02xr6QMtSWHIbM98SJO/vBYUxwaKQZ8JbC&#10;XSeXSq2kw5ZTg8We9pbqS/njNDzaU3U0MbyizT++XfW+nrpyrfVinqsXEJHG+C/+c7+ZNF8t4f5M&#10;ukBuf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vcf6b0AAADcAAAADwAAAAAAAAABACAAAAA4AAAAZHJzL2Rvd25yZXYu&#10;eG1sUEsBAhQAFAAAAAgAh07iQDMvBZ47AAAAOQAAABAAAAAAAAAAAQAgAAAAIgEAAGRycy9zaGFw&#10;ZXhtbC54bWxQSwUGAAAAAAYABgBbAQAAzAMAAAAA&#10;">
                        <v:fill on="t" focussize="0,0"/>
                        <v:stroke weight="0.5pt" color="#FFFFFF" miterlimit="8" joinstyle="miter"/>
                        <v:imagedata o:title=""/>
                        <o:lock v:ext="edit" aspectratio="f"/>
                        <v:textbox inset="0mm,0mm,0mm,0mm" style="layout-flow:vertical;">
                          <w:txbxContent>
                            <w:p>
                              <w:pPr>
                                <w:jc w:val="right"/>
                                <w:rPr>
                                  <w:rFonts w:ascii="宋体" w:hAnsi="宋体"/>
                                  <w:sz w:val="18"/>
                                  <w:szCs w:val="18"/>
                                </w:rPr>
                              </w:pPr>
                              <w:r>
                                <w:rPr>
                                  <w:rFonts w:hint="eastAsia" w:ascii="宋体" w:hAnsi="宋体"/>
                                  <w:sz w:val="18"/>
                                  <w:szCs w:val="18"/>
                                </w:rPr>
                                <w:t>23</w:t>
                              </w:r>
                            </w:p>
                          </w:txbxContent>
                        </v:textbox>
                      </v:shape>
                      <v:shape id="文本框 8" o:spid="_x0000_s1026" o:spt="202" type="#_x0000_t202" style="position:absolute;left:15422;top:1133;height:2268;width:283;" fillcolor="#FFFFFF" filled="t" stroked="t" coordsize="21600,21600" o:gfxdata="UEsFBgAAAAAAAAAAAAAAAAAAAAAAAFBLAwQKAAAAAACHTuJAAAAAAAAAAAAAAAAABAAAAGRycy9Q&#10;SwMEFAAAAAgAh07iQPZbHlG8AAAA3AAAAA8AAABkcnMvZG93bnJldi54bWxFT0trAjEQvhf8D2EK&#10;3mqiFi1bo9gWoR5dvfQ23Ux3l91MtknWx783guBtPr7nLFZn24oj+VA71jAeKRDEhTM1lxoO+83L&#10;G4gQkQ22jknDhQKsloOnBWbGnXhHxzyWIoVwyFBDFWOXSRmKiiyGkeuIE/fnvMWYoC+l8XhK4baV&#10;E6Vm0mLNqaHCjj4rKpq8txpem37b4/96sjH7pv+4/PzO8y+v9fB5rN5BRDrHh/ju/jZpvprC7Zl0&#10;gVxe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2Wx5RvAAAANwAAAAPAAAAAAAAAAEAIAAAADgAAABkcnMvZG93bnJldi54&#10;bWxQSwECFAAUAAAACACHTuJAMy8FnjsAAAA5AAAAEAAAAAAAAAABACAAAAAhAQAAZHJzL3NoYXBl&#10;eG1sLnhtbFBLBQYAAAAABgAGAFsBAADLAwAAAAA=&#10;">
                        <v:fill on="t" focussize="0,0"/>
                        <v:stroke weight="0.5pt" color="#FFFFFF" miterlimit="8" joinstyle="miter"/>
                        <v:imagedata o:title=""/>
                        <o:lock v:ext="edit" aspectratio="f"/>
                        <v:textbox inset="0mm,0mm,0mm,0mm" style="layout-flow:vertical;">
                          <w:txbxContent>
                            <w:p>
                              <w:pPr>
                                <w:jc w:val="left"/>
                                <w:rPr>
                                  <w:rFonts w:ascii="黑体" w:hAnsi="黑体" w:eastAsia="黑体"/>
                                  <w:szCs w:val="21"/>
                                </w:rPr>
                              </w:pPr>
                              <w:r>
                                <w:rPr>
                                  <w:rFonts w:ascii="黑体" w:hAnsi="黑体" w:eastAsia="黑体"/>
                                  <w:szCs w:val="21"/>
                                </w:rPr>
                                <w:t>DB</w:t>
                              </w:r>
                              <w:r>
                                <w:rPr>
                                  <w:rFonts w:hint="eastAsia" w:ascii="黑体" w:hAnsi="黑体" w:eastAsia="黑体"/>
                                  <w:szCs w:val="21"/>
                                </w:rPr>
                                <w:t>4302/T XXXX—XXXX</w:t>
                              </w:r>
                            </w:p>
                          </w:txbxContent>
                        </v:textbox>
                      </v:shape>
                    </v:group>
                  </w:pict>
                </mc:Fallback>
              </mc:AlternateContent>
            </w:r>
            <w:r>
              <w:rPr>
                <w:rFonts w:hint="eastAsia" w:ascii="宋体"/>
                <w:sz w:val="18"/>
              </w:rPr>
              <w:t>服务功能指示牌</w:t>
            </w:r>
          </w:p>
        </w:tc>
        <w:tc>
          <w:tcPr>
            <w:tcW w:w="2495" w:type="dxa"/>
            <w:vMerge w:val="restart"/>
            <w:shd w:val="clear" w:color="auto" w:fill="auto"/>
            <w:vAlign w:val="center"/>
          </w:tcPr>
          <w:p>
            <w:pPr>
              <w:rPr>
                <w:rStyle w:val="133"/>
                <w:rFonts w:ascii="宋体" w:hAnsi="宋体"/>
                <w:color w:val="000000"/>
                <w:kern w:val="0"/>
                <w:sz w:val="18"/>
              </w:rPr>
            </w:pPr>
            <w:r>
              <w:rPr>
                <w:rStyle w:val="133"/>
                <w:rFonts w:hint="eastAsia" w:ascii="宋体" w:hAnsi="宋体"/>
                <w:color w:val="000000"/>
                <w:kern w:val="0"/>
                <w:sz w:val="18"/>
              </w:rPr>
              <w:t>1.黄底黑字，采用5 mm水晶版UV打印。</w:t>
            </w:r>
          </w:p>
          <w:p>
            <w:pPr>
              <w:rPr>
                <w:rStyle w:val="133"/>
                <w:rFonts w:ascii="宋体" w:hAnsi="宋体"/>
                <w:color w:val="000000"/>
                <w:kern w:val="0"/>
                <w:sz w:val="18"/>
              </w:rPr>
            </w:pPr>
            <w:r>
              <w:rPr>
                <w:rStyle w:val="133"/>
                <w:rFonts w:hint="eastAsia" w:ascii="宋体" w:hAnsi="宋体"/>
                <w:color w:val="000000"/>
                <w:kern w:val="0"/>
                <w:sz w:val="18"/>
              </w:rPr>
              <w:t>2.尺寸应统一，具体可根据实际调整。</w:t>
            </w:r>
          </w:p>
        </w:tc>
        <w:tc>
          <w:tcPr>
            <w:tcW w:w="7938" w:type="dxa"/>
            <w:shd w:val="clear" w:color="auto" w:fill="auto"/>
            <w:vAlign w:val="center"/>
          </w:tcPr>
          <w:p>
            <w:pPr>
              <w:jc w:val="left"/>
              <w:rPr>
                <w:rFonts w:ascii="宋体"/>
                <w:sz w:val="18"/>
              </w:rPr>
            </w:pPr>
            <w:r>
              <w:rPr>
                <w:rFonts w:ascii="宋体"/>
                <w:sz w:val="18"/>
              </w:rPr>
              <w:drawing>
                <wp:inline distT="0" distB="0" distL="0" distR="0">
                  <wp:extent cx="1695450" cy="876300"/>
                  <wp:effectExtent l="0" t="0" r="0" b="0"/>
                  <wp:docPr id="1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true" noChangeArrowheads="true"/>
                          </pic:cNvPicPr>
                        </pic:nvPicPr>
                        <pic:blipFill>
                          <a:blip r:embed="rId27">
                            <a:extLst>
                              <a:ext uri="{28A0092B-C50C-407E-A947-70E740481C1C}">
                                <a14:useLocalDpi xmlns:a14="http://schemas.microsoft.com/office/drawing/2010/main" val="false"/>
                              </a:ext>
                            </a:extLst>
                          </a:blip>
                          <a:srcRect/>
                          <a:stretch>
                            <a:fillRect/>
                          </a:stretch>
                        </pic:blipFill>
                        <pic:spPr>
                          <a:xfrm>
                            <a:off x="0" y="0"/>
                            <a:ext cx="1697511" cy="877571"/>
                          </a:xfrm>
                          <a:prstGeom prst="rect">
                            <a:avLst/>
                          </a:prstGeom>
                          <a:noFill/>
                          <a:ln>
                            <a:noFill/>
                          </a:ln>
                        </pic:spPr>
                      </pic:pic>
                    </a:graphicData>
                  </a:graphic>
                </wp:inline>
              </w:drawing>
            </w:r>
            <w:r>
              <w:rPr>
                <w:rFonts w:ascii="宋体"/>
                <w:sz w:val="18"/>
              </w:rPr>
              <w:drawing>
                <wp:inline distT="0" distB="0" distL="0" distR="0">
                  <wp:extent cx="1628775" cy="794385"/>
                  <wp:effectExtent l="0" t="0" r="0" b="5715"/>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noChangeArrowheads="true"/>
                          </pic:cNvPicPr>
                        </pic:nvPicPr>
                        <pic:blipFill>
                          <a:blip r:embed="rId28">
                            <a:extLst>
                              <a:ext uri="{28A0092B-C50C-407E-A947-70E740481C1C}">
                                <a14:useLocalDpi xmlns:a14="http://schemas.microsoft.com/office/drawing/2010/main" val="false"/>
                              </a:ext>
                            </a:extLst>
                          </a:blip>
                          <a:srcRect/>
                          <a:stretch>
                            <a:fillRect/>
                          </a:stretch>
                        </pic:blipFill>
                        <pic:spPr>
                          <a:xfrm>
                            <a:off x="0" y="0"/>
                            <a:ext cx="1634984" cy="797938"/>
                          </a:xfrm>
                          <a:prstGeom prst="rect">
                            <a:avLst/>
                          </a:prstGeom>
                          <a:noFill/>
                          <a:ln>
                            <a:noFill/>
                          </a:ln>
                        </pic:spPr>
                      </pic:pic>
                    </a:graphicData>
                  </a:graphic>
                </wp:inline>
              </w:drawing>
            </w:r>
            <w:r>
              <w:rPr>
                <w:rFonts w:ascii="宋体"/>
                <w:sz w:val="18"/>
              </w:rPr>
              <w:drawing>
                <wp:inline distT="0" distB="0" distL="0" distR="0">
                  <wp:extent cx="1465580" cy="773430"/>
                  <wp:effectExtent l="0" t="0" r="1270" b="7620"/>
                  <wp:docPr id="1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true" noChangeArrowheads="true"/>
                          </pic:cNvPicPr>
                        </pic:nvPicPr>
                        <pic:blipFill>
                          <a:blip r:embed="rId29">
                            <a:extLst>
                              <a:ext uri="{28A0092B-C50C-407E-A947-70E740481C1C}">
                                <a14:useLocalDpi xmlns:a14="http://schemas.microsoft.com/office/drawing/2010/main" val="false"/>
                              </a:ext>
                            </a:extLst>
                          </a:blip>
                          <a:srcRect/>
                          <a:stretch>
                            <a:fillRect/>
                          </a:stretch>
                        </pic:blipFill>
                        <pic:spPr>
                          <a:xfrm>
                            <a:off x="0" y="0"/>
                            <a:ext cx="1467375" cy="774318"/>
                          </a:xfrm>
                          <a:prstGeom prst="rect">
                            <a:avLst/>
                          </a:prstGeom>
                          <a:noFill/>
                          <a:ln>
                            <a:noFill/>
                          </a:ln>
                        </pic:spPr>
                      </pic:pic>
                    </a:graphicData>
                  </a:graphic>
                </wp:inline>
              </w:drawing>
            </w:r>
          </w:p>
        </w:tc>
        <w:tc>
          <w:tcPr>
            <w:tcW w:w="1701" w:type="dxa"/>
            <w:vMerge w:val="restart"/>
            <w:shd w:val="clear" w:color="auto" w:fill="auto"/>
            <w:vAlign w:val="center"/>
          </w:tcPr>
          <w:p>
            <w:pPr>
              <w:pStyle w:val="21"/>
              <w:ind w:firstLine="0" w:firstLineChars="0"/>
              <w:rPr>
                <w:rStyle w:val="133"/>
                <w:rFonts w:hAnsi="宋体"/>
                <w:color w:val="000000"/>
                <w:sz w:val="18"/>
              </w:rPr>
            </w:pPr>
            <w:r>
              <w:rPr>
                <w:rStyle w:val="133"/>
                <w:rFonts w:hint="eastAsia" w:hAnsi="宋体"/>
                <w:color w:val="000000"/>
                <w:sz w:val="18"/>
              </w:rPr>
              <w:t>应位于功能设备设施旁醒目位置。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9" w:hRule="atLeast"/>
          <w:jc w:val="center"/>
        </w:trPr>
        <w:tc>
          <w:tcPr>
            <w:tcW w:w="1190" w:type="dxa"/>
            <w:vMerge w:val="continue"/>
            <w:shd w:val="clear" w:color="auto" w:fill="auto"/>
            <w:vAlign w:val="center"/>
          </w:tcPr>
          <w:p>
            <w:pPr>
              <w:jc w:val="center"/>
              <w:rPr>
                <w:rFonts w:ascii="宋体"/>
                <w:sz w:val="18"/>
              </w:rPr>
            </w:pPr>
          </w:p>
        </w:tc>
        <w:tc>
          <w:tcPr>
            <w:tcW w:w="2495" w:type="dxa"/>
            <w:vMerge w:val="continue"/>
            <w:shd w:val="clear" w:color="auto" w:fill="auto"/>
            <w:vAlign w:val="center"/>
          </w:tcPr>
          <w:p>
            <w:pPr>
              <w:rPr>
                <w:rStyle w:val="133"/>
                <w:rFonts w:ascii="宋体" w:hAnsi="宋体"/>
                <w:color w:val="000000"/>
                <w:kern w:val="0"/>
                <w:sz w:val="18"/>
              </w:rPr>
            </w:pPr>
          </w:p>
        </w:tc>
        <w:tc>
          <w:tcPr>
            <w:tcW w:w="7938" w:type="dxa"/>
            <w:shd w:val="clear" w:color="auto" w:fill="auto"/>
            <w:vAlign w:val="center"/>
          </w:tcPr>
          <w:p>
            <w:pPr>
              <w:jc w:val="center"/>
              <w:rPr>
                <w:rFonts w:ascii="宋体"/>
                <w:sz w:val="18"/>
              </w:rPr>
            </w:pPr>
            <w:r>
              <w:drawing>
                <wp:inline distT="0" distB="0" distL="0" distR="0">
                  <wp:extent cx="1657350" cy="945515"/>
                  <wp:effectExtent l="0" t="0" r="0" b="6985"/>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noChangeArrowheads="true"/>
                          </pic:cNvPicPr>
                        </pic:nvPicPr>
                        <pic:blipFill>
                          <a:blip r:embed="rId30">
                            <a:extLst>
                              <a:ext uri="{28A0092B-C50C-407E-A947-70E740481C1C}">
                                <a14:useLocalDpi xmlns:a14="http://schemas.microsoft.com/office/drawing/2010/main" val="false"/>
                              </a:ext>
                            </a:extLst>
                          </a:blip>
                          <a:srcRect/>
                          <a:stretch>
                            <a:fillRect/>
                          </a:stretch>
                        </pic:blipFill>
                        <pic:spPr>
                          <a:xfrm>
                            <a:off x="0" y="0"/>
                            <a:ext cx="1665087" cy="950352"/>
                          </a:xfrm>
                          <a:prstGeom prst="rect">
                            <a:avLst/>
                          </a:prstGeom>
                          <a:noFill/>
                          <a:ln>
                            <a:noFill/>
                          </a:ln>
                        </pic:spPr>
                      </pic:pic>
                    </a:graphicData>
                  </a:graphic>
                </wp:inline>
              </w:drawing>
            </w:r>
            <w:r>
              <w:rPr>
                <w:rFonts w:ascii="宋体"/>
                <w:sz w:val="18"/>
              </w:rPr>
              <w:drawing>
                <wp:inline distT="0" distB="0" distL="0" distR="0">
                  <wp:extent cx="1635125" cy="802640"/>
                  <wp:effectExtent l="0" t="0" r="3175" b="0"/>
                  <wp:docPr id="2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true" noChangeArrowheads="true"/>
                          </pic:cNvPicPr>
                        </pic:nvPicPr>
                        <pic:blipFill>
                          <a:blip r:embed="rId31">
                            <a:extLst>
                              <a:ext uri="{28A0092B-C50C-407E-A947-70E740481C1C}">
                                <a14:useLocalDpi xmlns:a14="http://schemas.microsoft.com/office/drawing/2010/main" val="false"/>
                              </a:ext>
                            </a:extLst>
                          </a:blip>
                          <a:srcRect/>
                          <a:stretch>
                            <a:fillRect/>
                          </a:stretch>
                        </pic:blipFill>
                        <pic:spPr>
                          <a:xfrm>
                            <a:off x="0" y="0"/>
                            <a:ext cx="1633763" cy="802450"/>
                          </a:xfrm>
                          <a:prstGeom prst="rect">
                            <a:avLst/>
                          </a:prstGeom>
                          <a:noFill/>
                          <a:ln>
                            <a:noFill/>
                          </a:ln>
                        </pic:spPr>
                      </pic:pic>
                    </a:graphicData>
                  </a:graphic>
                </wp:inline>
              </w:drawing>
            </w:r>
            <w:r>
              <w:rPr>
                <w:rFonts w:ascii="宋体"/>
                <w:sz w:val="18"/>
              </w:rPr>
              <w:drawing>
                <wp:inline distT="0" distB="0" distL="0" distR="0">
                  <wp:extent cx="1562735" cy="785495"/>
                  <wp:effectExtent l="0" t="0" r="0" b="0"/>
                  <wp:docPr id="2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true" noChangeArrowheads="true"/>
                          </pic:cNvPicPr>
                        </pic:nvPicPr>
                        <pic:blipFill>
                          <a:blip r:embed="rId32">
                            <a:extLst>
                              <a:ext uri="{28A0092B-C50C-407E-A947-70E740481C1C}">
                                <a14:useLocalDpi xmlns:a14="http://schemas.microsoft.com/office/drawing/2010/main" val="false"/>
                              </a:ext>
                            </a:extLst>
                          </a:blip>
                          <a:srcRect/>
                          <a:stretch>
                            <a:fillRect/>
                          </a:stretch>
                        </pic:blipFill>
                        <pic:spPr>
                          <a:xfrm>
                            <a:off x="0" y="0"/>
                            <a:ext cx="1578273" cy="793095"/>
                          </a:xfrm>
                          <a:prstGeom prst="rect">
                            <a:avLst/>
                          </a:prstGeom>
                          <a:noFill/>
                          <a:ln>
                            <a:noFill/>
                          </a:ln>
                        </pic:spPr>
                      </pic:pic>
                    </a:graphicData>
                  </a:graphic>
                </wp:inline>
              </w:drawing>
            </w:r>
          </w:p>
          <w:p>
            <w:pPr>
              <w:jc w:val="center"/>
              <w:rPr>
                <w:rFonts w:ascii="宋体"/>
                <w:sz w:val="18"/>
              </w:rPr>
            </w:pPr>
            <w:r>
              <w:rPr>
                <w:rFonts w:ascii="宋体"/>
                <w:sz w:val="18"/>
              </w:rPr>
              <w:drawing>
                <wp:inline distT="0" distB="0" distL="0" distR="0">
                  <wp:extent cx="1433195" cy="2686050"/>
                  <wp:effectExtent l="0" t="0" r="0" b="0"/>
                  <wp:docPr id="2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true" noChangeArrowheads="true"/>
                          </pic:cNvPicPr>
                        </pic:nvPicPr>
                        <pic:blipFill>
                          <a:blip r:embed="rId33">
                            <a:extLst>
                              <a:ext uri="{28A0092B-C50C-407E-A947-70E740481C1C}">
                                <a14:useLocalDpi xmlns:a14="http://schemas.microsoft.com/office/drawing/2010/main" val="false"/>
                              </a:ext>
                            </a:extLst>
                          </a:blip>
                          <a:srcRect/>
                          <a:stretch>
                            <a:fillRect/>
                          </a:stretch>
                        </pic:blipFill>
                        <pic:spPr>
                          <a:xfrm>
                            <a:off x="0" y="0"/>
                            <a:ext cx="1437655" cy="2693879"/>
                          </a:xfrm>
                          <a:prstGeom prst="rect">
                            <a:avLst/>
                          </a:prstGeom>
                          <a:noFill/>
                          <a:ln>
                            <a:noFill/>
                          </a:ln>
                        </pic:spPr>
                      </pic:pic>
                    </a:graphicData>
                  </a:graphic>
                </wp:inline>
              </w:drawing>
            </w:r>
          </w:p>
        </w:tc>
        <w:tc>
          <w:tcPr>
            <w:tcW w:w="1701" w:type="dxa"/>
            <w:vMerge w:val="continue"/>
            <w:shd w:val="clear" w:color="auto" w:fill="auto"/>
            <w:vAlign w:val="center"/>
          </w:tcPr>
          <w:p>
            <w:pPr>
              <w:pStyle w:val="21"/>
              <w:ind w:firstLine="0" w:firstLineChars="0"/>
              <w:rPr>
                <w:rStyle w:val="133"/>
                <w:rFonts w:hAnsi="宋体"/>
                <w:color w:val="000000"/>
                <w:sz w:val="18"/>
              </w:rPr>
            </w:pPr>
          </w:p>
        </w:tc>
      </w:tr>
    </w:tbl>
    <w:p>
      <w:pPr>
        <w:pStyle w:val="21"/>
        <w:ind w:firstLine="0" w:firstLineChars="0"/>
      </w:pPr>
    </w:p>
    <w:p>
      <w:pPr>
        <w:pStyle w:val="82"/>
        <w:numPr>
          <w:ilvl w:val="1"/>
          <w:numId w:val="20"/>
        </w:numPr>
        <w:spacing w:before="156" w:after="156"/>
        <w:ind w:left="0" w:right="840" w:rightChars="400" w:firstLine="0"/>
      </w:pPr>
      <w:r>
        <w:rPr>
          <w:rFonts w:hint="eastAsia"/>
        </w:rPr>
        <mc:AlternateContent>
          <mc:Choice Requires="wpg">
            <w:drawing>
              <wp:anchor distT="0" distB="0" distL="114300" distR="114300" simplePos="0" relativeHeight="251703296" behindDoc="0" locked="0" layoutInCell="1" allowOverlap="1">
                <wp:simplePos x="0" y="0"/>
                <wp:positionH relativeFrom="column">
                  <wp:posOffset>175260</wp:posOffset>
                </wp:positionH>
                <wp:positionV relativeFrom="paragraph">
                  <wp:posOffset>-4445</wp:posOffset>
                </wp:positionV>
                <wp:extent cx="9204960" cy="1440180"/>
                <wp:effectExtent l="0" t="0" r="15240" b="26670"/>
                <wp:wrapNone/>
                <wp:docPr id="28" name="Group 97"/>
                <wp:cNvGraphicFramePr/>
                <a:graphic xmlns:a="http://schemas.openxmlformats.org/drawingml/2006/main">
                  <a:graphicData uri="http://schemas.microsoft.com/office/word/2010/wordprocessingGroup">
                    <wpg:wgp>
                      <wpg:cNvGrpSpPr/>
                      <wpg:grpSpPr>
                        <a:xfrm>
                          <a:off x="0" y="0"/>
                          <a:ext cx="9204960" cy="1440180"/>
                          <a:chOff x="1209" y="1133"/>
                          <a:chExt cx="14496" cy="2268"/>
                        </a:xfrm>
                      </wpg:grpSpPr>
                      <wps:wsp>
                        <wps:cNvPr id="30" name="文本框 22"/>
                        <wps:cNvSpPr txBox="true">
                          <a:spLocks noChangeArrowheads="true"/>
                        </wps:cNvSpPr>
                        <wps:spPr bwMode="auto">
                          <a:xfrm>
                            <a:off x="1209" y="1133"/>
                            <a:ext cx="340" cy="1020"/>
                          </a:xfrm>
                          <a:prstGeom prst="rect">
                            <a:avLst/>
                          </a:prstGeom>
                          <a:solidFill>
                            <a:srgbClr val="FFFFFF"/>
                          </a:solidFill>
                          <a:ln w="6350">
                            <a:solidFill>
                              <a:srgbClr val="FFFFFF"/>
                            </a:solidFill>
                            <a:miter lim="800000"/>
                          </a:ln>
                        </wps:spPr>
                        <wps:txbx>
                          <w:txbxContent>
                            <w:p>
                              <w:pPr>
                                <w:jc w:val="left"/>
                                <w:rPr>
                                  <w:rFonts w:ascii="宋体" w:hAnsi="宋体"/>
                                  <w:sz w:val="18"/>
                                  <w:szCs w:val="18"/>
                                </w:rPr>
                              </w:pPr>
                              <w:r>
                                <w:rPr>
                                  <w:rFonts w:hint="eastAsia" w:ascii="宋体" w:hAnsi="宋体"/>
                                  <w:sz w:val="18"/>
                                  <w:szCs w:val="18"/>
                                </w:rPr>
                                <w:t>24</w:t>
                              </w:r>
                            </w:p>
                          </w:txbxContent>
                        </wps:txbx>
                        <wps:bodyPr rot="0" vert="vert" wrap="square" lIns="0" tIns="0" rIns="0" bIns="0" anchor="b" anchorCtr="false" upright="true">
                          <a:noAutofit/>
                        </wps:bodyPr>
                      </wps:wsp>
                      <wps:wsp>
                        <wps:cNvPr id="33" name="文本框 8"/>
                        <wps:cNvSpPr txBox="true">
                          <a:spLocks noChangeArrowheads="true"/>
                        </wps:cNvSpPr>
                        <wps:spPr bwMode="auto">
                          <a:xfrm>
                            <a:off x="15422" y="1133"/>
                            <a:ext cx="283" cy="2268"/>
                          </a:xfrm>
                          <a:prstGeom prst="rect">
                            <a:avLst/>
                          </a:prstGeom>
                          <a:solidFill>
                            <a:srgbClr val="FFFFFF"/>
                          </a:solidFill>
                          <a:ln w="6350">
                            <a:solidFill>
                              <a:srgbClr val="FFFFFF"/>
                            </a:solidFill>
                            <a:miter lim="800000"/>
                          </a:ln>
                        </wps:spPr>
                        <wps:txbx>
                          <w:txbxContent>
                            <w:p>
                              <w:pPr>
                                <w:jc w:val="left"/>
                                <w:rPr>
                                  <w:rFonts w:ascii="黑体" w:hAnsi="黑体" w:eastAsia="黑体"/>
                                  <w:szCs w:val="21"/>
                                </w:rPr>
                              </w:pPr>
                              <w:r>
                                <w:rPr>
                                  <w:rFonts w:ascii="黑体" w:hAnsi="黑体" w:eastAsia="黑体"/>
                                  <w:szCs w:val="21"/>
                                </w:rPr>
                                <w:t>DB</w:t>
                              </w:r>
                              <w:r>
                                <w:rPr>
                                  <w:rFonts w:hint="eastAsia" w:ascii="黑体" w:hAnsi="黑体" w:eastAsia="黑体"/>
                                  <w:szCs w:val="21"/>
                                </w:rPr>
                                <w:t>4302/T XXXX—XXXX</w:t>
                              </w:r>
                            </w:p>
                          </w:txbxContent>
                        </wps:txbx>
                        <wps:bodyPr rot="0" vert="vert" wrap="square" lIns="0" tIns="0" rIns="0" bIns="0" anchor="t" anchorCtr="false" upright="true">
                          <a:noAutofit/>
                        </wps:bodyPr>
                      </wps:wsp>
                    </wpg:wgp>
                  </a:graphicData>
                </a:graphic>
              </wp:anchor>
            </w:drawing>
          </mc:Choice>
          <mc:Fallback>
            <w:pict>
              <v:group id="Group 97" o:spid="_x0000_s1026" o:spt="203" style="position:absolute;left:0pt;margin-left:13.8pt;margin-top:-0.35pt;height:113.4pt;width:724.8pt;z-index:251703296;mso-width-relative:page;mso-height-relative:page;" coordorigin="1209,1133" coordsize="14496,2268" o:gfxdata="UEsFBgAAAAAAAAAAAAAAAAAAAAAAAFBLAwQKAAAAAACHTuJAAAAAAAAAAAAAAAAABAAAAGRycy9Q&#10;SwMEFAAAAAgAh07iQA5/Cl/ZAAAACQEAAA8AAABkcnMvZG93bnJldi54bWxNj0FLw0AQhe+C/2EZ&#10;wVu7SdSkpNkUKeqpCLaCeJtmp0lodjZkt0n7792e7HH4Hu99U6zOphMjDa61rCCeRyCIK6tbrhV8&#10;795nCxDOI2vsLJOCCzlYlfd3BebaTvxF49bXIpSwy1FB432fS+mqhgy6ue2JAzvYwaAP51BLPeAU&#10;yk0nkyhKpcGWw0KDPa0bqo7bk1HwMeH0+hS/jZvjYX353b18/mxiUurxIY6WIDyd/X8YrvpBHcrg&#10;tLcn1k50CpIsDUkFswzEFT9nWQJiH0CSxiDLQt5+UP4BUEsDBBQAAAAIAIdO4kBWVnMjwwIAABMI&#10;AAAOAAAAZHJzL2Uyb0RvYy54bWztlc1y0zAQx+/M8A4a3akdJw2Jp06ntLTDTIHOFB5AlmVbgywJ&#10;SYndF4A34MSFO8+V52Al22loOUD5OJGDIlnSX7u/3ZWOjrtGoA0zliuZ4clBjBGTVBVcVhl+++b8&#10;yQIj64gsiFCSZfiGWXy8evzoqNUpS1StRMEMAhFp01ZnuHZOp1Fkac0aYg+UZhImS2Ua4mBoqqgw&#10;pAX1RkRJHM+jVplCG0WZtfD1rJ/Eq6Bfloy612VpmUMiw2CbC60Jbe7baHVE0soQXXM6mEEeYEVD&#10;uIRDd1JnxBG0NvyeVMOpUVaV7oCqJlJlySkLPoA3k/iONxdGrXXwpUrbSu8wAdo7nB4sS19trgzi&#10;RYYTiJQkDcQoHIuWTz2cVlcprLkw+lpfmeFD1Y+8v11pGv8PnqAuYL3ZYWWdQxQ+LpN4tpwDfQpz&#10;k9ksniwG8LSG6Ph9kyReYuSnJ9NpHxRaPx/2w5blvN+dJPOFn47GkyNv4M6eVkMW2VtQ9vdAXddE&#10;s8DfeggDqCl40oPafvq4/fx1++UDSpIeVljnSSHXPVPgmDNrr0BSqy8VfWeRVKc1kRU7MUa1NSMF&#10;2BgWea+8/XCQF/DoLewCqbx9qQqIC1k7FbTuQP8BvBH9dDZij5PAfAeOpNpYd8FUg3wnwwZqJaiT&#10;zaV1PeNxSXBACV6ccyHCwFT5qTBoQ6CuzsNvCIvdXyYkajM8nx7GPYP9OftzEg13cEEI3mR4Efvf&#10;cI6QAy+PqIflurwLGWrTXBU3QM6ovuDhgoKObzFqodgzbN+viWEYiRcSAuBvhrFjxk4+doiktYI7&#10;I8eo7546GJVEWBBYa8OrGtR3kZbqBAJV8sDQB7E3ZjAX0rO39u/n6fR+nobi2cuyf5qmhzMok++L&#10;fMzTZAHG+uvhXoH/z9NfzlNI8j+Up+F2hZcnXLjDK+mftv1xyOvbt3z1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BYAAABkcnMvUEsBAhQA&#10;FAAAAAgAh07iQA5/Cl/ZAAAACQEAAA8AAAAAAAAAAQAgAAAAOAAAAGRycy9kb3ducmV2LnhtbFBL&#10;AQIUABQAAAAIAIdO4kBWVnMjwwIAABMIAAAOAAAAAAAAAAEAIAAAAD4BAABkcnMvZTJvRG9jLnht&#10;bFBLBQYAAAAABgAGAFkBAABzBgAAAAA=&#10;">
                <o:lock v:ext="edit" aspectratio="f"/>
                <v:shape id="文本框 22" o:spid="_x0000_s1026" o:spt="202" type="#_x0000_t202" style="position:absolute;left:1209;top:1133;height:1020;width:340;v-text-anchor:bottom;" fillcolor="#FFFFFF" filled="t" stroked="t" coordsize="21600,21600" o:gfxdata="UEsFBgAAAAAAAAAAAAAAAAAAAAAAAFBLAwQKAAAAAACHTuJAAAAAAAAAAAAAAAAABAAAAGRycy9Q&#10;SwMEFAAAAAgAh07iQNoFDne6AAAA2wAAAA8AAABkcnMvZG93bnJldi54bWxFT8uKwjAU3Qv+Q7jC&#10;bETTjjBKNe1CGMbFoFhd6O7SXJtic1Oa+Pr7yUKY5eG8V8XTtuJOvW8cK0inCQjiyumGawXHw/dk&#10;AcIHZI2tY1LwIg9FPhysMNPuwXu6l6EWMYR9hgpMCF0mpa8MWfRT1xFH7uJ6iyHCvpa6x0cMt638&#10;TJIvabHh2GCwo7Wh6lrerIKx2Z+2OvgfNOnubE+/81dbzpX6GKXJEkSgZ/gXv90brWAW18cv8QfI&#10;/A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2gUOd7oAAADbAAAADwAAAAAAAAABACAAAAA4AAAAZHJzL2Rvd25yZXYueG1s&#10;UEsBAhQAFAAAAAgAh07iQDMvBZ47AAAAOQAAABAAAAAAAAAAAQAgAAAAHwEAAGRycy9zaGFwZXht&#10;bC54bWxQSwUGAAAAAAYABgBbAQAAyQMAAAAA&#10;">
                  <v:fill on="t" focussize="0,0"/>
                  <v:stroke weight="0.5pt" color="#FFFFFF" miterlimit="8" joinstyle="miter"/>
                  <v:imagedata o:title=""/>
                  <o:lock v:ext="edit" aspectratio="f"/>
                  <v:textbox inset="0mm,0mm,0mm,0mm" style="layout-flow:vertical;">
                    <w:txbxContent>
                      <w:p>
                        <w:pPr>
                          <w:jc w:val="left"/>
                          <w:rPr>
                            <w:rFonts w:ascii="宋体" w:hAnsi="宋体"/>
                            <w:sz w:val="18"/>
                            <w:szCs w:val="18"/>
                          </w:rPr>
                        </w:pPr>
                        <w:r>
                          <w:rPr>
                            <w:rFonts w:hint="eastAsia" w:ascii="宋体" w:hAnsi="宋体"/>
                            <w:sz w:val="18"/>
                            <w:szCs w:val="18"/>
                          </w:rPr>
                          <w:t>24</w:t>
                        </w:r>
                      </w:p>
                    </w:txbxContent>
                  </v:textbox>
                </v:shape>
                <v:shape id="文本框 8" o:spid="_x0000_s1026" o:spt="202" type="#_x0000_t202" style="position:absolute;left:15422;top:1133;height:2268;width:283;" fillcolor="#FFFFFF" filled="t" stroked="t" coordsize="21600,21600" o:gfxdata="UEsFBgAAAAAAAAAAAAAAAAAAAAAAAFBLAwQKAAAAAACHTuJAAAAAAAAAAAAAAAAABAAAAGRycy9Q&#10;SwMEFAAAAAgAh07iQN2/F329AAAA2wAAAA8AAABkcnMvZG93bnJldi54bWxFj0FrwkAUhO+F/ofl&#10;FXqrm6hoSV2lWgQ9Gnvp7TX7moRk36a7m6j/3hUEj8PMfMMsVmfTioGcry0rSEcJCOLC6ppLBd/H&#10;7ds7CB+QNbaWScGFPKyWz08LzLQ98YGGPJQiQthnqKAKocuk9EVFBv3IdsTR+7POYIjSlVI7PEW4&#10;aeU4SWbSYM1xocKONhUVTd4bBdOm3/f4/zne6mPTry8/v/P8yyn1+pImHyACncMjfG/vtILJBG5f&#10;4g+Qyy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b8Xfb0AAADbAAAADwAAAAAAAAABACAAAAA4AAAAZHJzL2Rvd25yZXYu&#10;eG1sUEsBAhQAFAAAAAgAh07iQDMvBZ47AAAAOQAAABAAAAAAAAAAAQAgAAAAIgEAAGRycy9zaGFw&#10;ZXhtbC54bWxQSwUGAAAAAAYABgBbAQAAzAMAAAAA&#10;">
                  <v:fill on="t" focussize="0,0"/>
                  <v:stroke weight="0.5pt" color="#FFFFFF" miterlimit="8" joinstyle="miter"/>
                  <v:imagedata o:title=""/>
                  <o:lock v:ext="edit" aspectratio="f"/>
                  <v:textbox inset="0mm,0mm,0mm,0mm" style="layout-flow:vertical;">
                    <w:txbxContent>
                      <w:p>
                        <w:pPr>
                          <w:jc w:val="left"/>
                          <w:rPr>
                            <w:rFonts w:ascii="黑体" w:hAnsi="黑体" w:eastAsia="黑体"/>
                            <w:szCs w:val="21"/>
                          </w:rPr>
                        </w:pPr>
                        <w:r>
                          <w:rPr>
                            <w:rFonts w:ascii="黑体" w:hAnsi="黑体" w:eastAsia="黑体"/>
                            <w:szCs w:val="21"/>
                          </w:rPr>
                          <w:t>DB</w:t>
                        </w:r>
                        <w:r>
                          <w:rPr>
                            <w:rFonts w:hint="eastAsia" w:ascii="黑体" w:hAnsi="黑体" w:eastAsia="黑体"/>
                            <w:szCs w:val="21"/>
                          </w:rPr>
                          <w:t>4302/T XXXX—XXXX</w:t>
                        </w:r>
                      </w:p>
                    </w:txbxContent>
                  </v:textbox>
                </v:shape>
              </v:group>
            </w:pict>
          </mc:Fallback>
        </mc:AlternateContent>
      </w:r>
      <w:r>
        <w:rPr>
          <w:rFonts w:hint="eastAsia"/>
        </w:rPr>
        <w:t>驿站标识牌</w:t>
      </w:r>
      <w:r>
        <w:rPr>
          <w:rFonts w:hint="eastAsia" w:ascii="宋体" w:hAnsi="宋体" w:eastAsia="宋体"/>
        </w:rPr>
        <w:t>（续）</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2605"/>
        <w:gridCol w:w="6237"/>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0" w:type="dxa"/>
            <w:shd w:val="clear" w:color="auto" w:fill="auto"/>
            <w:vAlign w:val="center"/>
          </w:tcPr>
          <w:p>
            <w:pPr>
              <w:pStyle w:val="21"/>
              <w:ind w:firstLine="0" w:firstLineChars="0"/>
              <w:jc w:val="center"/>
              <w:rPr>
                <w:sz w:val="18"/>
                <w:szCs w:val="18"/>
              </w:rPr>
            </w:pPr>
            <w:r>
              <w:rPr>
                <w:rFonts w:hint="eastAsia"/>
                <w:sz w:val="18"/>
                <w:szCs w:val="18"/>
              </w:rPr>
              <w:t>种类</w:t>
            </w:r>
          </w:p>
        </w:tc>
        <w:tc>
          <w:tcPr>
            <w:tcW w:w="2605" w:type="dxa"/>
            <w:shd w:val="clear" w:color="auto" w:fill="auto"/>
            <w:vAlign w:val="center"/>
          </w:tcPr>
          <w:p>
            <w:pPr>
              <w:pStyle w:val="21"/>
              <w:ind w:firstLine="0" w:firstLineChars="0"/>
              <w:jc w:val="center"/>
              <w:rPr>
                <w:sz w:val="18"/>
                <w:szCs w:val="18"/>
              </w:rPr>
            </w:pPr>
            <w:r>
              <w:rPr>
                <w:rFonts w:hint="eastAsia"/>
                <w:sz w:val="18"/>
                <w:szCs w:val="18"/>
              </w:rPr>
              <w:t>设计要求</w:t>
            </w:r>
          </w:p>
        </w:tc>
        <w:tc>
          <w:tcPr>
            <w:tcW w:w="6237" w:type="dxa"/>
            <w:shd w:val="clear" w:color="auto" w:fill="auto"/>
            <w:vAlign w:val="center"/>
          </w:tcPr>
          <w:p>
            <w:pPr>
              <w:pStyle w:val="21"/>
              <w:ind w:firstLine="0" w:firstLineChars="0"/>
              <w:jc w:val="center"/>
              <w:rPr>
                <w:sz w:val="18"/>
                <w:szCs w:val="18"/>
              </w:rPr>
            </w:pPr>
            <w:r>
              <w:rPr>
                <w:rFonts w:hint="eastAsia"/>
                <w:sz w:val="18"/>
                <w:szCs w:val="18"/>
              </w:rPr>
              <w:t>设计图样</w:t>
            </w:r>
          </w:p>
        </w:tc>
        <w:tc>
          <w:tcPr>
            <w:tcW w:w="3402" w:type="dxa"/>
            <w:shd w:val="clear" w:color="auto" w:fill="auto"/>
            <w:vAlign w:val="center"/>
          </w:tcPr>
          <w:p>
            <w:pPr>
              <w:pStyle w:val="21"/>
              <w:ind w:firstLine="0" w:firstLineChars="0"/>
              <w:jc w:val="center"/>
              <w:rPr>
                <w:sz w:val="18"/>
                <w:szCs w:val="18"/>
              </w:rPr>
            </w:pPr>
            <w:r>
              <w:rPr>
                <w:rFonts w:hint="eastAsia"/>
                <w:sz w:val="18"/>
                <w:szCs w:val="18"/>
              </w:rPr>
              <w:t>设置要求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7" w:hRule="atLeast"/>
          <w:jc w:val="center"/>
        </w:trPr>
        <w:tc>
          <w:tcPr>
            <w:tcW w:w="1080" w:type="dxa"/>
            <w:shd w:val="clear" w:color="auto" w:fill="auto"/>
            <w:vAlign w:val="center"/>
          </w:tcPr>
          <w:p>
            <w:pPr>
              <w:jc w:val="center"/>
              <w:rPr>
                <w:rFonts w:ascii="宋体"/>
                <w:sz w:val="18"/>
              </w:rPr>
            </w:pPr>
            <w:r>
              <w:rPr>
                <w:rFonts w:hint="eastAsia" w:ascii="宋体"/>
                <w:sz w:val="18"/>
              </w:rPr>
              <w:t>提醒牌</w:t>
            </w:r>
          </w:p>
        </w:tc>
        <w:tc>
          <w:tcPr>
            <w:tcW w:w="2605" w:type="dxa"/>
            <w:shd w:val="clear" w:color="auto" w:fill="auto"/>
            <w:vAlign w:val="center"/>
          </w:tcPr>
          <w:p>
            <w:pPr>
              <w:rPr>
                <w:rStyle w:val="133"/>
                <w:rFonts w:ascii="宋体" w:hAnsi="宋体"/>
                <w:color w:val="000000"/>
                <w:kern w:val="0"/>
                <w:sz w:val="18"/>
              </w:rPr>
            </w:pPr>
            <w:r>
              <w:rPr>
                <w:rStyle w:val="133"/>
                <w:rFonts w:hint="eastAsia" w:ascii="宋体" w:hAnsi="宋体"/>
                <w:color w:val="000000"/>
                <w:kern w:val="0"/>
                <w:sz w:val="18"/>
              </w:rPr>
              <w:t>1.黄底黑字，采用5</w:t>
            </w:r>
            <w:r>
              <w:rPr>
                <w:rStyle w:val="133"/>
                <w:rFonts w:ascii="宋体" w:hAnsi="宋体"/>
                <w:color w:val="000000"/>
                <w:kern w:val="0"/>
                <w:sz w:val="18"/>
              </w:rPr>
              <w:t> </w:t>
            </w:r>
            <w:r>
              <w:rPr>
                <w:rStyle w:val="133"/>
                <w:rFonts w:hint="eastAsia" w:ascii="宋体" w:hAnsi="宋体"/>
                <w:color w:val="000000"/>
                <w:kern w:val="0"/>
                <w:sz w:val="18"/>
              </w:rPr>
              <w:t>mm水晶版UV打印。</w:t>
            </w:r>
          </w:p>
          <w:p>
            <w:pPr>
              <w:rPr>
                <w:rStyle w:val="133"/>
                <w:rFonts w:ascii="宋体" w:hAnsi="宋体"/>
                <w:color w:val="000000"/>
                <w:kern w:val="0"/>
                <w:sz w:val="18"/>
              </w:rPr>
            </w:pPr>
            <w:r>
              <w:rPr>
                <w:rStyle w:val="133"/>
                <w:rFonts w:hint="eastAsia" w:ascii="宋体" w:hAnsi="宋体"/>
                <w:color w:val="000000"/>
                <w:kern w:val="0"/>
                <w:sz w:val="18"/>
              </w:rPr>
              <w:t>2.尺寸应统一，具体可根据实际调整。</w:t>
            </w:r>
          </w:p>
        </w:tc>
        <w:tc>
          <w:tcPr>
            <w:tcW w:w="6237" w:type="dxa"/>
            <w:shd w:val="clear" w:color="auto" w:fill="auto"/>
            <w:vAlign w:val="center"/>
          </w:tcPr>
          <w:p>
            <w:pPr>
              <w:jc w:val="center"/>
              <w:rPr>
                <w:rFonts w:ascii="宋体"/>
                <w:sz w:val="18"/>
              </w:rPr>
            </w:pPr>
            <w:r>
              <w:drawing>
                <wp:inline distT="0" distB="0" distL="0" distR="0">
                  <wp:extent cx="2553335" cy="1247775"/>
                  <wp:effectExtent l="0" t="0" r="0" b="0"/>
                  <wp:docPr id="2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true" noChangeArrowheads="true"/>
                          </pic:cNvPicPr>
                        </pic:nvPicPr>
                        <pic:blipFill>
                          <a:blip r:embed="rId34">
                            <a:extLst>
                              <a:ext uri="{28A0092B-C50C-407E-A947-70E740481C1C}">
                                <a14:useLocalDpi xmlns:a14="http://schemas.microsoft.com/office/drawing/2010/main" val="false"/>
                              </a:ext>
                            </a:extLst>
                          </a:blip>
                          <a:srcRect/>
                          <a:stretch>
                            <a:fillRect/>
                          </a:stretch>
                        </pic:blipFill>
                        <pic:spPr>
                          <a:xfrm>
                            <a:off x="0" y="0"/>
                            <a:ext cx="2560171" cy="1250940"/>
                          </a:xfrm>
                          <a:prstGeom prst="rect">
                            <a:avLst/>
                          </a:prstGeom>
                          <a:noFill/>
                          <a:ln>
                            <a:noFill/>
                          </a:ln>
                        </pic:spPr>
                      </pic:pic>
                    </a:graphicData>
                  </a:graphic>
                </wp:inline>
              </w:drawing>
            </w:r>
          </w:p>
        </w:tc>
        <w:tc>
          <w:tcPr>
            <w:tcW w:w="3402" w:type="dxa"/>
            <w:shd w:val="clear" w:color="auto" w:fill="auto"/>
            <w:vAlign w:val="center"/>
          </w:tcPr>
          <w:p>
            <w:pPr>
              <w:pStyle w:val="21"/>
              <w:ind w:firstLine="0" w:firstLineChars="0"/>
              <w:rPr>
                <w:sz w:val="18"/>
                <w:szCs w:val="18"/>
              </w:rPr>
            </w:pPr>
            <w:r>
              <w:rPr>
                <w:rFonts w:hint="eastAsia"/>
                <w:sz w:val="18"/>
                <w:szCs w:val="18"/>
              </w:rPr>
              <w:t>1.应在有潜在危险的地点的l</w:t>
            </w:r>
            <w:r>
              <w:rPr>
                <w:sz w:val="18"/>
                <w:szCs w:val="18"/>
              </w:rPr>
              <w:t> </w:t>
            </w:r>
            <w:r>
              <w:rPr>
                <w:rFonts w:hint="eastAsia"/>
                <w:sz w:val="18"/>
                <w:szCs w:val="18"/>
              </w:rPr>
              <w:t>m以内设置安全提醒牌。</w:t>
            </w:r>
          </w:p>
          <w:p>
            <w:pPr>
              <w:pStyle w:val="21"/>
              <w:ind w:firstLine="0" w:firstLineChars="0"/>
              <w:rPr>
                <w:sz w:val="18"/>
                <w:szCs w:val="18"/>
              </w:rPr>
            </w:pPr>
            <w:r>
              <w:rPr>
                <w:rFonts w:hint="eastAsia"/>
                <w:sz w:val="18"/>
                <w:szCs w:val="18"/>
              </w:rPr>
              <w:t>2.保洁及设施设备维修维护期间，应在门口设置清扫牌提醒入厕人员。</w:t>
            </w:r>
          </w:p>
          <w:p>
            <w:pPr>
              <w:pStyle w:val="21"/>
              <w:ind w:firstLine="0" w:firstLineChars="0"/>
              <w:rPr>
                <w:rStyle w:val="133"/>
                <w:rFonts w:hAnsi="宋体"/>
                <w:color w:val="000000"/>
                <w:sz w:val="18"/>
              </w:rPr>
            </w:pPr>
            <w:r>
              <w:rPr>
                <w:rFonts w:hint="eastAsia"/>
                <w:sz w:val="18"/>
                <w:szCs w:val="18"/>
              </w:rPr>
              <w:t>3.恶劣天气应设置相关警示标志或安全标识提醒如厕人员。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7" w:hRule="atLeast"/>
          <w:jc w:val="center"/>
        </w:trPr>
        <w:tc>
          <w:tcPr>
            <w:tcW w:w="1080" w:type="dxa"/>
            <w:shd w:val="clear" w:color="auto" w:fill="auto"/>
            <w:vAlign w:val="center"/>
          </w:tcPr>
          <w:p>
            <w:pPr>
              <w:jc w:val="center"/>
              <w:rPr>
                <w:rFonts w:ascii="宋体"/>
                <w:sz w:val="18"/>
              </w:rPr>
            </w:pPr>
            <w:r>
              <w:rPr>
                <w:rFonts w:hint="eastAsia" w:ascii="宋体"/>
                <w:sz w:val="18"/>
              </w:rPr>
              <w:t>提醒牌</w:t>
            </w:r>
          </w:p>
        </w:tc>
        <w:tc>
          <w:tcPr>
            <w:tcW w:w="2605" w:type="dxa"/>
            <w:shd w:val="clear" w:color="auto" w:fill="auto"/>
            <w:vAlign w:val="center"/>
          </w:tcPr>
          <w:p>
            <w:pPr>
              <w:rPr>
                <w:rStyle w:val="133"/>
                <w:rFonts w:ascii="宋体" w:hAnsi="宋体"/>
                <w:color w:val="000000"/>
                <w:kern w:val="0"/>
                <w:sz w:val="18"/>
              </w:rPr>
            </w:pPr>
            <w:r>
              <w:rPr>
                <w:rStyle w:val="133"/>
                <w:rFonts w:hint="eastAsia" w:ascii="宋体" w:hAnsi="宋体"/>
                <w:color w:val="000000"/>
                <w:kern w:val="0"/>
                <w:sz w:val="18"/>
              </w:rPr>
              <w:t>1.黄底黑字，采用5</w:t>
            </w:r>
            <w:r>
              <w:rPr>
                <w:rStyle w:val="133"/>
                <w:rFonts w:ascii="宋体" w:hAnsi="宋体"/>
                <w:color w:val="000000"/>
                <w:kern w:val="0"/>
                <w:sz w:val="18"/>
              </w:rPr>
              <w:t> </w:t>
            </w:r>
            <w:r>
              <w:rPr>
                <w:rStyle w:val="133"/>
                <w:rFonts w:hint="eastAsia" w:ascii="宋体" w:hAnsi="宋体"/>
                <w:color w:val="000000"/>
                <w:kern w:val="0"/>
                <w:sz w:val="18"/>
              </w:rPr>
              <w:t>mm水晶版UV打印。</w:t>
            </w:r>
          </w:p>
          <w:p>
            <w:pPr>
              <w:rPr>
                <w:rStyle w:val="133"/>
                <w:rFonts w:ascii="宋体" w:hAnsi="宋体"/>
                <w:color w:val="000000"/>
                <w:kern w:val="0"/>
                <w:sz w:val="18"/>
              </w:rPr>
            </w:pPr>
            <w:r>
              <w:rPr>
                <w:rStyle w:val="133"/>
                <w:rFonts w:hint="eastAsia" w:ascii="宋体" w:hAnsi="宋体"/>
                <w:color w:val="000000"/>
                <w:kern w:val="0"/>
                <w:sz w:val="18"/>
              </w:rPr>
              <w:t>2.尺寸应统一，具体可根据实际调整。</w:t>
            </w:r>
          </w:p>
        </w:tc>
        <w:tc>
          <w:tcPr>
            <w:tcW w:w="6237" w:type="dxa"/>
            <w:shd w:val="clear" w:color="auto" w:fill="auto"/>
            <w:vAlign w:val="center"/>
          </w:tcPr>
          <w:p>
            <w:pPr>
              <w:jc w:val="center"/>
              <w:rPr>
                <w:rFonts w:ascii="宋体"/>
                <w:sz w:val="18"/>
              </w:rPr>
            </w:pPr>
            <w:r>
              <w:drawing>
                <wp:inline distT="0" distB="0" distL="0" distR="0">
                  <wp:extent cx="1704975" cy="1066165"/>
                  <wp:effectExtent l="0" t="0" r="0" b="635"/>
                  <wp:docPr id="2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true" noChangeArrowheads="true"/>
                          </pic:cNvPicPr>
                        </pic:nvPicPr>
                        <pic:blipFill>
                          <a:blip r:embed="rId35">
                            <a:extLst>
                              <a:ext uri="{28A0092B-C50C-407E-A947-70E740481C1C}">
                                <a14:useLocalDpi xmlns:a14="http://schemas.microsoft.com/office/drawing/2010/main" val="false"/>
                              </a:ext>
                            </a:extLst>
                          </a:blip>
                          <a:srcRect/>
                          <a:stretch>
                            <a:fillRect/>
                          </a:stretch>
                        </pic:blipFill>
                        <pic:spPr>
                          <a:xfrm>
                            <a:off x="0" y="0"/>
                            <a:ext cx="1715342" cy="1072922"/>
                          </a:xfrm>
                          <a:prstGeom prst="rect">
                            <a:avLst/>
                          </a:prstGeom>
                          <a:noFill/>
                          <a:ln>
                            <a:noFill/>
                          </a:ln>
                        </pic:spPr>
                      </pic:pic>
                    </a:graphicData>
                  </a:graphic>
                </wp:inline>
              </w:drawing>
            </w:r>
            <w:r>
              <w:drawing>
                <wp:inline distT="0" distB="0" distL="0" distR="0">
                  <wp:extent cx="1571625" cy="1060450"/>
                  <wp:effectExtent l="0" t="0" r="0" b="6350"/>
                  <wp:docPr id="3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true" noChangeArrowheads="true"/>
                          </pic:cNvPicPr>
                        </pic:nvPicPr>
                        <pic:blipFill>
                          <a:blip r:embed="rId36">
                            <a:extLst>
                              <a:ext uri="{28A0092B-C50C-407E-A947-70E740481C1C}">
                                <a14:useLocalDpi xmlns:a14="http://schemas.microsoft.com/office/drawing/2010/main" val="false"/>
                              </a:ext>
                            </a:extLst>
                          </a:blip>
                          <a:srcRect/>
                          <a:stretch>
                            <a:fillRect/>
                          </a:stretch>
                        </pic:blipFill>
                        <pic:spPr>
                          <a:xfrm>
                            <a:off x="0" y="0"/>
                            <a:ext cx="1571625" cy="1060633"/>
                          </a:xfrm>
                          <a:prstGeom prst="rect">
                            <a:avLst/>
                          </a:prstGeom>
                          <a:noFill/>
                          <a:ln>
                            <a:noFill/>
                          </a:ln>
                        </pic:spPr>
                      </pic:pic>
                    </a:graphicData>
                  </a:graphic>
                </wp:inline>
              </w:drawing>
            </w:r>
          </w:p>
          <w:p>
            <w:pPr>
              <w:jc w:val="center"/>
              <w:rPr>
                <w:rFonts w:ascii="宋体"/>
                <w:sz w:val="18"/>
              </w:rPr>
            </w:pPr>
            <w:r>
              <w:drawing>
                <wp:inline distT="0" distB="0" distL="0" distR="0">
                  <wp:extent cx="1804670" cy="1129030"/>
                  <wp:effectExtent l="0" t="0" r="5080" b="0"/>
                  <wp:docPr id="3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true" noChangeArrowheads="true"/>
                          </pic:cNvPicPr>
                        </pic:nvPicPr>
                        <pic:blipFill>
                          <a:blip r:embed="rId37">
                            <a:extLst>
                              <a:ext uri="{28A0092B-C50C-407E-A947-70E740481C1C}">
                                <a14:useLocalDpi xmlns:a14="http://schemas.microsoft.com/office/drawing/2010/main" val="false"/>
                              </a:ext>
                            </a:extLst>
                          </a:blip>
                          <a:srcRect/>
                          <a:stretch>
                            <a:fillRect/>
                          </a:stretch>
                        </pic:blipFill>
                        <pic:spPr>
                          <a:xfrm>
                            <a:off x="0" y="0"/>
                            <a:ext cx="1804670" cy="1129030"/>
                          </a:xfrm>
                          <a:prstGeom prst="rect">
                            <a:avLst/>
                          </a:prstGeom>
                          <a:noFill/>
                          <a:ln>
                            <a:noFill/>
                          </a:ln>
                        </pic:spPr>
                      </pic:pic>
                    </a:graphicData>
                  </a:graphic>
                </wp:inline>
              </w:drawing>
            </w:r>
          </w:p>
        </w:tc>
        <w:tc>
          <w:tcPr>
            <w:tcW w:w="3402" w:type="dxa"/>
            <w:shd w:val="clear" w:color="auto" w:fill="auto"/>
            <w:vAlign w:val="center"/>
          </w:tcPr>
          <w:p>
            <w:pPr>
              <w:pStyle w:val="21"/>
              <w:ind w:firstLine="0" w:firstLineChars="0"/>
              <w:rPr>
                <w:rStyle w:val="133"/>
                <w:rFonts w:hAnsi="宋体"/>
                <w:color w:val="000000"/>
                <w:sz w:val="18"/>
              </w:rPr>
            </w:pPr>
            <w:r>
              <w:rPr>
                <w:rFonts w:hint="eastAsia"/>
                <w:sz w:val="18"/>
                <w:szCs w:val="18"/>
              </w:rPr>
              <w:t>应设置在显著位置。</w:t>
            </w:r>
          </w:p>
        </w:tc>
      </w:tr>
    </w:tbl>
    <w:p>
      <w:pPr>
        <w:pStyle w:val="82"/>
        <w:numPr>
          <w:ilvl w:val="0"/>
          <w:numId w:val="0"/>
        </w:numPr>
        <w:spacing w:before="0" w:beforeLines="0" w:after="156"/>
        <w:ind w:right="840" w:rightChars="400"/>
        <w:jc w:val="both"/>
      </w:pPr>
    </w:p>
    <w:p>
      <w:pPr>
        <w:pStyle w:val="21"/>
      </w:pPr>
    </w:p>
    <w:p>
      <w:pPr>
        <w:pStyle w:val="21"/>
      </w:pPr>
    </w:p>
    <w:p>
      <w:pPr>
        <w:pStyle w:val="21"/>
      </w:pPr>
    </w:p>
    <w:p>
      <w:pPr>
        <w:pStyle w:val="82"/>
        <w:numPr>
          <w:ilvl w:val="1"/>
          <w:numId w:val="21"/>
        </w:numPr>
        <w:spacing w:before="0" w:beforeLines="0" w:after="156"/>
        <w:ind w:left="0" w:right="840" w:rightChars="400" w:firstLine="0"/>
      </w:pPr>
      <w:r>
        <w:rPr>
          <w:rFonts w:hint="eastAsia"/>
        </w:rPr>
        <w:t>驿站标识牌</w:t>
      </w:r>
      <w:r>
        <w:rPr>
          <w:rFonts w:hint="eastAsia" w:ascii="宋体" w:hAnsi="宋体" w:eastAsia="宋体"/>
        </w:rPr>
        <w:t>（续）</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2693"/>
        <w:gridCol w:w="680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2" w:type="dxa"/>
            <w:shd w:val="clear" w:color="auto" w:fill="auto"/>
            <w:vAlign w:val="center"/>
          </w:tcPr>
          <w:p>
            <w:pPr>
              <w:pStyle w:val="21"/>
              <w:ind w:firstLine="0" w:firstLineChars="0"/>
              <w:jc w:val="center"/>
              <w:rPr>
                <w:sz w:val="18"/>
                <w:szCs w:val="18"/>
              </w:rPr>
            </w:pPr>
            <w:r>
              <w:rPr>
                <w:rFonts w:hint="eastAsia"/>
                <w:sz w:val="18"/>
                <w:szCs w:val="18"/>
              </w:rPr>
              <w:t>种类</w:t>
            </w:r>
          </w:p>
        </w:tc>
        <w:tc>
          <w:tcPr>
            <w:tcW w:w="2693" w:type="dxa"/>
            <w:shd w:val="clear" w:color="auto" w:fill="auto"/>
            <w:vAlign w:val="center"/>
          </w:tcPr>
          <w:p>
            <w:pPr>
              <w:pStyle w:val="21"/>
              <w:ind w:firstLine="0" w:firstLineChars="0"/>
              <w:jc w:val="center"/>
              <w:rPr>
                <w:sz w:val="18"/>
                <w:szCs w:val="18"/>
              </w:rPr>
            </w:pPr>
            <w:r>
              <w:rPr>
                <w:rFonts w:hint="eastAsia"/>
                <w:sz w:val="18"/>
                <w:szCs w:val="18"/>
              </w:rPr>
              <w:t>设计要求</w:t>
            </w:r>
          </w:p>
        </w:tc>
        <w:tc>
          <w:tcPr>
            <w:tcW w:w="6804" w:type="dxa"/>
            <w:shd w:val="clear" w:color="auto" w:fill="auto"/>
            <w:vAlign w:val="center"/>
          </w:tcPr>
          <w:p>
            <w:pPr>
              <w:pStyle w:val="21"/>
              <w:ind w:firstLine="0" w:firstLineChars="0"/>
              <w:jc w:val="center"/>
              <w:rPr>
                <w:sz w:val="18"/>
                <w:szCs w:val="18"/>
              </w:rPr>
            </w:pPr>
            <w:r>
              <w:rPr>
                <w:rFonts w:hint="eastAsia"/>
                <w:sz w:val="18"/>
                <w:szCs w:val="18"/>
              </w:rPr>
              <w:t>设计图样</w:t>
            </w:r>
          </w:p>
        </w:tc>
        <w:tc>
          <w:tcPr>
            <w:tcW w:w="2835" w:type="dxa"/>
            <w:shd w:val="clear" w:color="auto" w:fill="auto"/>
            <w:vAlign w:val="center"/>
          </w:tcPr>
          <w:p>
            <w:pPr>
              <w:pStyle w:val="21"/>
              <w:ind w:firstLine="0" w:firstLineChars="0"/>
              <w:jc w:val="center"/>
              <w:rPr>
                <w:sz w:val="18"/>
                <w:szCs w:val="18"/>
              </w:rPr>
            </w:pPr>
            <w:r>
              <w:rPr>
                <w:rFonts w:hint="eastAsia"/>
                <w:sz w:val="18"/>
                <w:szCs w:val="18"/>
              </w:rPr>
              <w:t>设置要求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7" w:hRule="atLeast"/>
          <w:jc w:val="center"/>
        </w:trPr>
        <w:tc>
          <w:tcPr>
            <w:tcW w:w="992" w:type="dxa"/>
            <w:shd w:val="clear" w:color="auto" w:fill="auto"/>
            <w:vAlign w:val="center"/>
          </w:tcPr>
          <w:p>
            <w:pPr>
              <w:jc w:val="center"/>
              <w:rPr>
                <w:rFonts w:ascii="宋体"/>
                <w:sz w:val="18"/>
              </w:rPr>
            </w:pPr>
            <w:r>
              <w:rPr>
                <w:rFonts w:hint="eastAsia"/>
              </w:rPr>
              <mc:AlternateContent>
                <mc:Choice Requires="wpg">
                  <w:drawing>
                    <wp:anchor distT="0" distB="0" distL="114300" distR="114300" simplePos="0" relativeHeight="251663360" behindDoc="0" locked="0" layoutInCell="1" allowOverlap="1">
                      <wp:simplePos x="0" y="0"/>
                      <wp:positionH relativeFrom="column">
                        <wp:posOffset>-531495</wp:posOffset>
                      </wp:positionH>
                      <wp:positionV relativeFrom="paragraph">
                        <wp:posOffset>3736975</wp:posOffset>
                      </wp:positionV>
                      <wp:extent cx="9252585" cy="1440180"/>
                      <wp:effectExtent l="0" t="0" r="24765" b="26670"/>
                      <wp:wrapNone/>
                      <wp:docPr id="57" name="Group 109"/>
                      <wp:cNvGraphicFramePr/>
                      <a:graphic xmlns:a="http://schemas.openxmlformats.org/drawingml/2006/main">
                        <a:graphicData uri="http://schemas.microsoft.com/office/word/2010/wordprocessingGroup">
                          <wpg:wgp>
                            <wpg:cNvGrpSpPr/>
                            <wpg:grpSpPr>
                              <a:xfrm>
                                <a:off x="0" y="0"/>
                                <a:ext cx="9252585" cy="1440180"/>
                                <a:chOff x="1134" y="1133"/>
                                <a:chExt cx="14571" cy="2268"/>
                              </a:xfrm>
                            </wpg:grpSpPr>
                            <wps:wsp>
                              <wps:cNvPr id="58" name="文本框 22"/>
                              <wps:cNvSpPr txBox="true">
                                <a:spLocks noChangeArrowheads="true"/>
                              </wps:cNvSpPr>
                              <wps:spPr bwMode="auto">
                                <a:xfrm>
                                  <a:off x="1134" y="2180"/>
                                  <a:ext cx="340" cy="1020"/>
                                </a:xfrm>
                                <a:prstGeom prst="rect">
                                  <a:avLst/>
                                </a:prstGeom>
                                <a:solidFill>
                                  <a:srgbClr val="FFFFFF"/>
                                </a:solidFill>
                                <a:ln w="6350">
                                  <a:solidFill>
                                    <a:srgbClr val="FFFFFF"/>
                                  </a:solidFill>
                                  <a:miter lim="800000"/>
                                </a:ln>
                              </wps:spPr>
                              <wps:txbx>
                                <w:txbxContent>
                                  <w:p>
                                    <w:pPr>
                                      <w:jc w:val="right"/>
                                      <w:rPr>
                                        <w:rFonts w:ascii="宋体" w:hAnsi="宋体"/>
                                        <w:sz w:val="18"/>
                                        <w:szCs w:val="18"/>
                                      </w:rPr>
                                    </w:pPr>
                                    <w:r>
                                      <w:rPr>
                                        <w:rFonts w:hint="eastAsia" w:ascii="宋体" w:hAnsi="宋体"/>
                                        <w:sz w:val="18"/>
                                        <w:szCs w:val="18"/>
                                      </w:rPr>
                                      <w:t>25</w:t>
                                    </w:r>
                                  </w:p>
                                </w:txbxContent>
                              </wps:txbx>
                              <wps:bodyPr rot="0" vert="vert" wrap="square" lIns="0" tIns="0" rIns="0" bIns="0" anchor="b" anchorCtr="false" upright="true">
                                <a:noAutofit/>
                              </wps:bodyPr>
                            </wps:wsp>
                            <wps:wsp>
                              <wps:cNvPr id="59" name="文本框 8"/>
                              <wps:cNvSpPr txBox="true">
                                <a:spLocks noChangeArrowheads="true"/>
                              </wps:cNvSpPr>
                              <wps:spPr bwMode="auto">
                                <a:xfrm>
                                  <a:off x="15422" y="1133"/>
                                  <a:ext cx="283" cy="2268"/>
                                </a:xfrm>
                                <a:prstGeom prst="rect">
                                  <a:avLst/>
                                </a:prstGeom>
                                <a:solidFill>
                                  <a:srgbClr val="FFFFFF"/>
                                </a:solidFill>
                                <a:ln w="6350">
                                  <a:solidFill>
                                    <a:srgbClr val="FFFFFF"/>
                                  </a:solidFill>
                                  <a:miter lim="800000"/>
                                </a:ln>
                              </wps:spPr>
                              <wps:txbx>
                                <w:txbxContent>
                                  <w:p>
                                    <w:pPr>
                                      <w:jc w:val="left"/>
                                      <w:rPr>
                                        <w:rFonts w:ascii="黑体" w:hAnsi="黑体" w:eastAsia="黑体"/>
                                        <w:szCs w:val="21"/>
                                      </w:rPr>
                                    </w:pPr>
                                    <w:r>
                                      <w:rPr>
                                        <w:rFonts w:ascii="黑体" w:hAnsi="黑体" w:eastAsia="黑体"/>
                                        <w:szCs w:val="21"/>
                                      </w:rPr>
                                      <w:t>DB</w:t>
                                    </w:r>
                                    <w:r>
                                      <w:rPr>
                                        <w:rFonts w:hint="eastAsia" w:ascii="黑体" w:hAnsi="黑体" w:eastAsia="黑体"/>
                                        <w:szCs w:val="21"/>
                                      </w:rPr>
                                      <w:t>4302/T XXXX—XXXX</w:t>
                                    </w:r>
                                  </w:p>
                                </w:txbxContent>
                              </wps:txbx>
                              <wps:bodyPr rot="0" vert="vert" wrap="square" lIns="0" tIns="0" rIns="0" bIns="0" anchor="t" anchorCtr="false" upright="true">
                                <a:noAutofit/>
                              </wps:bodyPr>
                            </wps:wsp>
                          </wpg:wgp>
                        </a:graphicData>
                      </a:graphic>
                    </wp:anchor>
                  </w:drawing>
                </mc:Choice>
                <mc:Fallback>
                  <w:pict>
                    <v:group id="Group 109" o:spid="_x0000_s1026" o:spt="203" style="position:absolute;left:0pt;margin-left:-41.85pt;margin-top:294.25pt;height:113.4pt;width:728.55pt;z-index:251663360;mso-width-relative:page;mso-height-relative:page;" coordorigin="1134,1133" coordsize="14571,2268" o:gfxdata="UEsFBgAAAAAAAAAAAAAAAAAAAAAAAFBLAwQKAAAAAACHTuJAAAAAAAAAAAAAAAAABAAAAGRycy9Q&#10;SwMEFAAAAAgAh07iQIDryk/cAAAADAEAAA8AAABkcnMvZG93bnJldi54bWxNj8FqwzAQRO+F/oPY&#10;Qm+JrLpuhGM5lND2FApNCiU3xdrYJtbKWIqd/H2VU3tc5jHztlhdbMdGHHzrSIGYJ8CQKmdaqhV8&#10;795nEpgPmozuHKGCK3pYlfd3hc6Nm+gLx22oWSwhn2sFTQh9zrmvGrTaz12PFLOjG6wO8RxqbgY9&#10;xXLb8ackeeFWtxQXGt3jusHqtD1bBR+Tnl5T8TZuTsf1db/LPn82ApV6fBDJEljAS/iD4aYf1aGM&#10;Tgd3JuNZp2Am00VEFWRSZsBuRLpIn4EdFEiRpcDLgv9/ovwFUEsDBBQAAAAIAIdO4kAHRypBxgIA&#10;ABQIAAAOAAAAZHJzL2Uyb0RvYy54bWztlUtuFDEQhvdI3MHynvRjpsOklZ4oJCRCChApcAC32/0Q&#10;btvYnunOBeAGrNiw51w5B2X3I0MiJAiPFbPw2G27XPXVX/bhUd9ytGXaNFJkONoLMWKCyqIRVYbf&#10;vjl7ssLIWCIKwqVgGb5mBh+tHz867FTKYllLXjCNwIgwaacyXFur0iAwtGYtMXtSMQGTpdQtsTDU&#10;VVBo0oH1lgdxGO4HndSF0pIyY+Dr6TCJ195+WTJqX5elYRbxDINv1rfat7lrg/UhSStNVN3Q0Q3y&#10;AC9a0gg4dDZ1SixBG93cM9U2VEsjS7tHZRvIsmwo8zFANFF4J5pzLTfKx1KlXaVmTID2DqcHm6Wv&#10;tpcaNUWGk6cYCdJCjvyxKAoPHJ1OVSksOtfqSl3q8UM1jFzAfalb9w+hoN5zvZ65st4iCh8P4iRO&#10;VglGFOai5TKMViN5WkN63L4oWiwxctPRYjFkhdbPx/3RMnkaDbvjeH/lpoPp5MA5OPvTKZCRuSVl&#10;fo/UVU0U8wkwDsJECjQ9kLr59PHm89ebLx9QHA+w/DpHCtn+mYTArN44CyQ16kLSdwYJeVITUbFj&#10;rWVXM1KAj36Ri8r5Dwc5Aw69gV1gKu9eygISQzZWelt3oM/w4hnshH6xBNV77GHsmc/gSKq0sedM&#10;tsh1MqyhWLx1sr0wdmA8LfEBSN4UZw3nfqCr/IRrtCVQWGf+N6bF7C7jAnUZ3l8k4cBgd878nIm2&#10;sXBD8KbN8Cp0v/EcLkZeDtEAy/Z57xVq0lwW10BOy6Hi4YaCjmsx6qDaM2zeb4hmGPEXAhLgroap&#10;o6dOPnWIoLWESyPHaOieWBiVhBswsFG6qWqwPmdayGNIVNl4hi6JgzOjuyDPwdu/r9OD+zr1xbOj&#10;sn8q02QJZfJ9kU86jVeLHxT4f53+sk5B5H9Ip/52hafHX7jjM+nett2x1/XtY77+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BYAAABkcnMv&#10;UEsBAhQAFAAAAAgAh07iQIDryk/cAAAADAEAAA8AAAAAAAAAAQAgAAAAOAAAAGRycy9kb3ducmV2&#10;LnhtbFBLAQIUABQAAAAIAIdO4kAHRypBxgIAABQIAAAOAAAAAAAAAAEAIAAAAEEBAABkcnMvZTJv&#10;RG9jLnhtbFBLBQYAAAAABgAGAFkBAAB5BgAAAAA=&#10;">
                      <o:lock v:ext="edit" aspectratio="f"/>
                      <v:shape id="文本框 22" o:spid="_x0000_s1026" o:spt="202" type="#_x0000_t202" style="position:absolute;left:1134;top:2180;height:1020;width:340;v-text-anchor:bottom;" fillcolor="#FFFFFF" filled="t" stroked="t" coordsize="21600,21600" o:gfxdata="UEsFBgAAAAAAAAAAAAAAAAAAAAAAAFBLAwQKAAAAAACHTuJAAAAAAAAAAAAAAAAABAAAAGRycy9Q&#10;SwMEFAAAAAgAh07iQPms59G6AAAA2wAAAA8AAABkcnMvZG93bnJldi54bWxFT8uKwjAU3Qv+Q7jC&#10;bETTDjhKNe1CGMbFoFhd6O7SXJtic1Oa+Pr7yUKY5eG8V8XTtuJOvW8cK0inCQjiyumGawXHw/dk&#10;AcIHZI2tY1LwIg9FPhysMNPuwXu6l6EWMYR9hgpMCF0mpa8MWfRT1xFH7uJ6iyHCvpa6x0cMt638&#10;TJIvabHh2GCwo7Wh6lrerIKx2Z+2OvgfNOnubE+/81dbzpX6GKXJEkSgZ/gXv90brWAWx8Yv8QfI&#10;/A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azn0boAAADbAAAADwAAAAAAAAABACAAAAA4AAAAZHJzL2Rvd25yZXYueG1s&#10;UEsBAhQAFAAAAAgAh07iQDMvBZ47AAAAOQAAABAAAAAAAAAAAQAgAAAAHwEAAGRycy9zaGFwZXht&#10;bC54bWxQSwUGAAAAAAYABgBbAQAAyQMAAAAA&#10;">
                        <v:fill on="t" focussize="0,0"/>
                        <v:stroke weight="0.5pt" color="#FFFFFF" miterlimit="8" joinstyle="miter"/>
                        <v:imagedata o:title=""/>
                        <o:lock v:ext="edit" aspectratio="f"/>
                        <v:textbox inset="0mm,0mm,0mm,0mm" style="layout-flow:vertical;">
                          <w:txbxContent>
                            <w:p>
                              <w:pPr>
                                <w:jc w:val="right"/>
                                <w:rPr>
                                  <w:rFonts w:ascii="宋体" w:hAnsi="宋体"/>
                                  <w:sz w:val="18"/>
                                  <w:szCs w:val="18"/>
                                </w:rPr>
                              </w:pPr>
                              <w:r>
                                <w:rPr>
                                  <w:rFonts w:hint="eastAsia" w:ascii="宋体" w:hAnsi="宋体"/>
                                  <w:sz w:val="18"/>
                                  <w:szCs w:val="18"/>
                                </w:rPr>
                                <w:t>25</w:t>
                              </w:r>
                            </w:p>
                          </w:txbxContent>
                        </v:textbox>
                      </v:shape>
                      <v:shape id="文本框 8" o:spid="_x0000_s1026" o:spt="202" type="#_x0000_t202" style="position:absolute;left:15422;top:1133;height:2268;width:283;" fillcolor="#FFFFFF" filled="t" stroked="t" coordsize="21600,21600" o:gfxdata="UEsFBgAAAAAAAAAAAAAAAAAAAAAAAFBLAwQKAAAAAACHTuJAAAAAAAAAAAAAAAAABAAAAGRycy9Q&#10;SwMEFAAAAAgAh07iQGGIxTe9AAAA2wAAAA8AAABkcnMvZG93bnJldi54bWxFj81uwjAQhO+VeAdr&#10;kXorDogCTTEIqJDgSODS2zZekijxOtgOP29fI1XqcTQz32jmy7tpxJWcrywrGA4SEMS51RUXCk7H&#10;7dsMhA/IGhvLpOBBHpaL3sscU21vfKBrFgoRIexTVFCG0KZS+rwkg35gW+Lona0zGKJ0hdQObxFu&#10;GjlKkok0WHFcKLGlTUl5nXVGwbju9h1eVqOtPtbd+vH9M82+nFKv/WHyCSLQPfyH/9o7reD9A55f&#10;4g+Qi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YjFN70AAADbAAAADwAAAAAAAAABACAAAAA4AAAAZHJzL2Rvd25yZXYu&#10;eG1sUEsBAhQAFAAAAAgAh07iQDMvBZ47AAAAOQAAABAAAAAAAAAAAQAgAAAAIgEAAGRycy9zaGFw&#10;ZXhtbC54bWxQSwUGAAAAAAYABgBbAQAAzAMAAAAA&#10;">
                        <v:fill on="t" focussize="0,0"/>
                        <v:stroke weight="0.5pt" color="#FFFFFF" miterlimit="8" joinstyle="miter"/>
                        <v:imagedata o:title=""/>
                        <o:lock v:ext="edit" aspectratio="f"/>
                        <v:textbox inset="0mm,0mm,0mm,0mm" style="layout-flow:vertical;">
                          <w:txbxContent>
                            <w:p>
                              <w:pPr>
                                <w:jc w:val="left"/>
                                <w:rPr>
                                  <w:rFonts w:ascii="黑体" w:hAnsi="黑体" w:eastAsia="黑体"/>
                                  <w:szCs w:val="21"/>
                                </w:rPr>
                              </w:pPr>
                              <w:r>
                                <w:rPr>
                                  <w:rFonts w:ascii="黑体" w:hAnsi="黑体" w:eastAsia="黑体"/>
                                  <w:szCs w:val="21"/>
                                </w:rPr>
                                <w:t>DB</w:t>
                              </w:r>
                              <w:r>
                                <w:rPr>
                                  <w:rFonts w:hint="eastAsia" w:ascii="黑体" w:hAnsi="黑体" w:eastAsia="黑体"/>
                                  <w:szCs w:val="21"/>
                                </w:rPr>
                                <w:t>4302/T XXXX—XXXX</w:t>
                              </w:r>
                            </w:p>
                          </w:txbxContent>
                        </v:textbox>
                      </v:shape>
                    </v:group>
                  </w:pict>
                </mc:Fallback>
              </mc:AlternateContent>
            </w:r>
            <w:r>
              <w:rPr>
                <w:rFonts w:hint="eastAsia" w:ascii="宋体"/>
                <w:sz w:val="18"/>
              </w:rPr>
              <w:t>便民服务项目及其他功能室</w:t>
            </w:r>
          </w:p>
        </w:tc>
        <w:tc>
          <w:tcPr>
            <w:tcW w:w="2693" w:type="dxa"/>
            <w:shd w:val="clear" w:color="auto" w:fill="auto"/>
            <w:vAlign w:val="center"/>
          </w:tcPr>
          <w:p>
            <w:pPr>
              <w:rPr>
                <w:rStyle w:val="133"/>
                <w:rFonts w:ascii="宋体" w:hAnsi="宋体"/>
                <w:color w:val="000000"/>
                <w:kern w:val="0"/>
                <w:sz w:val="18"/>
              </w:rPr>
            </w:pPr>
            <w:r>
              <w:rPr>
                <w:rStyle w:val="133"/>
                <w:rFonts w:hint="eastAsia" w:ascii="宋体" w:hAnsi="宋体"/>
                <w:color w:val="000000"/>
                <w:kern w:val="0"/>
                <w:sz w:val="18"/>
              </w:rPr>
              <w:t>应根据各驿站实际需求设计，与其他标牌统一。</w:t>
            </w:r>
          </w:p>
        </w:tc>
        <w:tc>
          <w:tcPr>
            <w:tcW w:w="6804" w:type="dxa"/>
            <w:shd w:val="clear" w:color="auto" w:fill="auto"/>
            <w:vAlign w:val="center"/>
          </w:tcPr>
          <w:p>
            <w:pPr>
              <w:jc w:val="center"/>
            </w:pPr>
            <w:r>
              <w:drawing>
                <wp:inline distT="0" distB="0" distL="0" distR="0">
                  <wp:extent cx="2066925" cy="2610485"/>
                  <wp:effectExtent l="0" t="0" r="0" b="0"/>
                  <wp:docPr id="3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true" noChangeArrowheads="true"/>
                          </pic:cNvPicPr>
                        </pic:nvPicPr>
                        <pic:blipFill>
                          <a:blip r:embed="rId38">
                            <a:extLst>
                              <a:ext uri="{28A0092B-C50C-407E-A947-70E740481C1C}">
                                <a14:useLocalDpi xmlns:a14="http://schemas.microsoft.com/office/drawing/2010/main" val="false"/>
                              </a:ext>
                            </a:extLst>
                          </a:blip>
                          <a:srcRect/>
                          <a:stretch>
                            <a:fillRect/>
                          </a:stretch>
                        </pic:blipFill>
                        <pic:spPr>
                          <a:xfrm>
                            <a:off x="0" y="0"/>
                            <a:ext cx="2080428" cy="2627680"/>
                          </a:xfrm>
                          <a:prstGeom prst="rect">
                            <a:avLst/>
                          </a:prstGeom>
                          <a:noFill/>
                          <a:ln>
                            <a:noFill/>
                          </a:ln>
                        </pic:spPr>
                      </pic:pic>
                    </a:graphicData>
                  </a:graphic>
                </wp:inline>
              </w:drawing>
            </w:r>
          </w:p>
          <w:p>
            <w:pPr>
              <w:jc w:val="center"/>
              <w:rPr>
                <w:rFonts w:ascii="宋体"/>
                <w:sz w:val="18"/>
              </w:rPr>
            </w:pPr>
            <w:r>
              <w:drawing>
                <wp:inline distT="0" distB="0" distL="0" distR="0">
                  <wp:extent cx="2440940" cy="1885950"/>
                  <wp:effectExtent l="0" t="0" r="0" b="0"/>
                  <wp:docPr id="35"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true" noChangeArrowheads="true"/>
                          </pic:cNvPicPr>
                        </pic:nvPicPr>
                        <pic:blipFill>
                          <a:blip r:embed="rId39">
                            <a:extLst>
                              <a:ext uri="{28A0092B-C50C-407E-A947-70E740481C1C}">
                                <a14:useLocalDpi xmlns:a14="http://schemas.microsoft.com/office/drawing/2010/main" val="false"/>
                              </a:ext>
                            </a:extLst>
                          </a:blip>
                          <a:srcRect/>
                          <a:stretch>
                            <a:fillRect/>
                          </a:stretch>
                        </pic:blipFill>
                        <pic:spPr>
                          <a:xfrm>
                            <a:off x="0" y="0"/>
                            <a:ext cx="2447902" cy="1891317"/>
                          </a:xfrm>
                          <a:prstGeom prst="rect">
                            <a:avLst/>
                          </a:prstGeom>
                          <a:noFill/>
                          <a:ln>
                            <a:noFill/>
                          </a:ln>
                        </pic:spPr>
                      </pic:pic>
                    </a:graphicData>
                  </a:graphic>
                </wp:inline>
              </w:drawing>
            </w:r>
          </w:p>
        </w:tc>
        <w:tc>
          <w:tcPr>
            <w:tcW w:w="2835" w:type="dxa"/>
            <w:shd w:val="clear" w:color="auto" w:fill="auto"/>
            <w:vAlign w:val="center"/>
          </w:tcPr>
          <w:p>
            <w:pPr>
              <w:pStyle w:val="21"/>
              <w:ind w:firstLine="0" w:firstLineChars="0"/>
              <w:rPr>
                <w:rStyle w:val="133"/>
                <w:rFonts w:hAnsi="宋体"/>
                <w:color w:val="000000"/>
                <w:sz w:val="18"/>
              </w:rPr>
            </w:pPr>
            <w:r>
              <w:rPr>
                <w:rStyle w:val="133"/>
                <w:rFonts w:hint="eastAsia" w:hAnsi="宋体"/>
                <w:color w:val="000000"/>
                <w:sz w:val="18"/>
              </w:rPr>
              <w:t>应根据各驿站实际设置。</w:t>
            </w:r>
          </w:p>
        </w:tc>
      </w:tr>
    </w:tbl>
    <w:p>
      <w:pPr>
        <w:pStyle w:val="21"/>
        <w:ind w:firstLine="0" w:firstLineChars="0"/>
      </w:pPr>
    </w:p>
    <w:p>
      <w:pPr>
        <w:pStyle w:val="82"/>
        <w:numPr>
          <w:ilvl w:val="1"/>
          <w:numId w:val="7"/>
        </w:numPr>
        <w:spacing w:before="156" w:after="156"/>
        <w:ind w:left="0" w:right="840" w:rightChars="400" w:firstLine="0"/>
      </w:pPr>
      <w:r>
        <w:rPr>
          <w:rFonts w:hint="eastAsia"/>
        </w:rPr>
        <mc:AlternateContent>
          <mc:Choice Requires="wpg">
            <w:drawing>
              <wp:anchor distT="0" distB="0" distL="114300" distR="114300" simplePos="0" relativeHeight="251705344" behindDoc="0" locked="0" layoutInCell="1" allowOverlap="1">
                <wp:simplePos x="0" y="0"/>
                <wp:positionH relativeFrom="column">
                  <wp:posOffset>89535</wp:posOffset>
                </wp:positionH>
                <wp:positionV relativeFrom="paragraph">
                  <wp:posOffset>-71120</wp:posOffset>
                </wp:positionV>
                <wp:extent cx="9252585" cy="1440180"/>
                <wp:effectExtent l="0" t="0" r="24765" b="26670"/>
                <wp:wrapNone/>
                <wp:docPr id="42" name="Group 97"/>
                <wp:cNvGraphicFramePr/>
                <a:graphic xmlns:a="http://schemas.openxmlformats.org/drawingml/2006/main">
                  <a:graphicData uri="http://schemas.microsoft.com/office/word/2010/wordprocessingGroup">
                    <wpg:wgp>
                      <wpg:cNvGrpSpPr/>
                      <wpg:grpSpPr>
                        <a:xfrm>
                          <a:off x="0" y="0"/>
                          <a:ext cx="9252585" cy="1440180"/>
                          <a:chOff x="1134" y="1133"/>
                          <a:chExt cx="14571" cy="2268"/>
                        </a:xfrm>
                      </wpg:grpSpPr>
                      <wps:wsp>
                        <wps:cNvPr id="43" name="文本框 22"/>
                        <wps:cNvSpPr txBox="true">
                          <a:spLocks noChangeArrowheads="true"/>
                        </wps:cNvSpPr>
                        <wps:spPr bwMode="auto">
                          <a:xfrm>
                            <a:off x="1134" y="1274"/>
                            <a:ext cx="340" cy="1020"/>
                          </a:xfrm>
                          <a:prstGeom prst="rect">
                            <a:avLst/>
                          </a:prstGeom>
                          <a:solidFill>
                            <a:srgbClr val="FFFFFF"/>
                          </a:solidFill>
                          <a:ln w="6350">
                            <a:solidFill>
                              <a:srgbClr val="FFFFFF"/>
                            </a:solidFill>
                            <a:miter lim="800000"/>
                          </a:ln>
                        </wps:spPr>
                        <wps:txbx>
                          <w:txbxContent>
                            <w:p>
                              <w:pPr>
                                <w:jc w:val="left"/>
                                <w:rPr>
                                  <w:rFonts w:ascii="宋体" w:hAnsi="宋体"/>
                                  <w:sz w:val="18"/>
                                  <w:szCs w:val="18"/>
                                </w:rPr>
                              </w:pPr>
                              <w:r>
                                <w:rPr>
                                  <w:rFonts w:hint="eastAsia" w:ascii="宋体" w:hAnsi="宋体"/>
                                  <w:sz w:val="18"/>
                                  <w:szCs w:val="18"/>
                                </w:rPr>
                                <w:t>26</w:t>
                              </w:r>
                            </w:p>
                          </w:txbxContent>
                        </wps:txbx>
                        <wps:bodyPr rot="0" vert="vert" wrap="square" lIns="0" tIns="0" rIns="0" bIns="0" anchor="b" anchorCtr="false" upright="true">
                          <a:noAutofit/>
                        </wps:bodyPr>
                      </wps:wsp>
                      <wps:wsp>
                        <wps:cNvPr id="44" name="文本框 8"/>
                        <wps:cNvSpPr txBox="true">
                          <a:spLocks noChangeArrowheads="true"/>
                        </wps:cNvSpPr>
                        <wps:spPr bwMode="auto">
                          <a:xfrm>
                            <a:off x="15422" y="1133"/>
                            <a:ext cx="283" cy="2268"/>
                          </a:xfrm>
                          <a:prstGeom prst="rect">
                            <a:avLst/>
                          </a:prstGeom>
                          <a:solidFill>
                            <a:srgbClr val="FFFFFF"/>
                          </a:solidFill>
                          <a:ln w="6350">
                            <a:solidFill>
                              <a:srgbClr val="FFFFFF"/>
                            </a:solidFill>
                            <a:miter lim="800000"/>
                          </a:ln>
                        </wps:spPr>
                        <wps:txbx>
                          <w:txbxContent>
                            <w:p>
                              <w:pPr>
                                <w:jc w:val="left"/>
                                <w:rPr>
                                  <w:rFonts w:ascii="黑体" w:hAnsi="黑体" w:eastAsia="黑体"/>
                                  <w:szCs w:val="21"/>
                                </w:rPr>
                              </w:pPr>
                              <w:r>
                                <w:rPr>
                                  <w:rFonts w:ascii="黑体" w:hAnsi="黑体" w:eastAsia="黑体"/>
                                  <w:szCs w:val="21"/>
                                </w:rPr>
                                <w:t>DB</w:t>
                              </w:r>
                              <w:r>
                                <w:rPr>
                                  <w:rFonts w:hint="eastAsia" w:ascii="黑体" w:hAnsi="黑体" w:eastAsia="黑体"/>
                                  <w:szCs w:val="21"/>
                                </w:rPr>
                                <w:t>4302/T XXXX—XXXX</w:t>
                              </w:r>
                            </w:p>
                          </w:txbxContent>
                        </wps:txbx>
                        <wps:bodyPr rot="0" vert="vert" wrap="square" lIns="0" tIns="0" rIns="0" bIns="0" anchor="t" anchorCtr="false" upright="true">
                          <a:noAutofit/>
                        </wps:bodyPr>
                      </wps:wsp>
                    </wpg:wgp>
                  </a:graphicData>
                </a:graphic>
              </wp:anchor>
            </w:drawing>
          </mc:Choice>
          <mc:Fallback>
            <w:pict>
              <v:group id="Group 97" o:spid="_x0000_s1026" o:spt="203" style="position:absolute;left:0pt;margin-left:7.05pt;margin-top:-5.6pt;height:113.4pt;width:728.55pt;z-index:251705344;mso-width-relative:page;mso-height-relative:page;" coordorigin="1134,1133" coordsize="14571,2268" o:gfxdata="UEsFBgAAAAAAAAAAAAAAAAAAAAAAAFBLAwQKAAAAAACHTuJAAAAAAAAAAAAAAAAABAAAAGRycy9Q&#10;SwMEFAAAAAgAh07iQMpIFmfZAAAACwEAAA8AAABkcnMvZG93bnJldi54bWxNj8FKw0AQhu+C77CM&#10;4K3dbGyrxGyKFPVUBFtBvE2z0yQ0Oxuy26R9ezcnvc3PfPzzTb6+2FYM1PvGsQY1T0AQl840XGn4&#10;2r/NnkD4gGywdUwaruRhXdze5JgZN/InDbtQiVjCPkMNdQhdJqUva7Lo564jjruj6y2GGPtKmh7H&#10;WG5bmSbJSlpsOF6osaNNTeVpd7Ya3kccXx7U67A9HTfXn/3y43urSOv7O5U8gwh0CX8wTPpRHYro&#10;dHBnNl60MS9UJDXMlEpBTMDicZoOGlK1XIEscvn/h+IXUEsDBBQAAAAIAIdO4kD/6uIIzAIAABMI&#10;AAAOAAAAZHJzL2Uyb0RvYy54bWztlc1y0zAQx+/M8A4a3ak/4rSpp06ntLTDTIHOFB5AluWPwZaE&#10;pMTuC8AbcOLCnefqc7CS7CSkFygfJ3JQJEta7f72v9LJ6dC1aM2UbgTPcHQQYsQ4FUXDqwy/e3v5&#10;bIGRNoQXpBWcZfiOaXy6fPrkpJcpi0Ut2oIpBEa4TnuZ4doYmQaBpjXriD4QknGYLIXqiIGhqoJC&#10;kR6sd20Qh+Fh0AtVSCUo0xq+XvhJvHT2y5JR86YsNTOozTD4ZlyrXJvbNliekLRSRNYNHd0gj/Ci&#10;Iw2HQzemLoghaKWaB6a6hiqhRWkOqOgCUZYNZS4GiCYK96K5UmIlXSxV2ldygwnQ7nF6tFn6en2j&#10;UFNkOIkx4qSDHLlj0fGRhdPLKoU1V0reyhs1fqj8yMY7lKqz/xAJGhzWuw1WNhhE4eNxPI/nizlG&#10;FOaiJAmjxQie1pAduy+KZglGdjqazXxSaP1i3B8l86PI747jw4WdDqaTA+vgxp9egor0FpT+PVC3&#10;NZHM8dcWwgRqNoG6//zp/su3+68fURx7WG6dJYXM8FxAYEatrAWSankt6HuNuDivCa/YmVKirxkp&#10;wEe3yEZl/YeDrAGLXsMuMJX3r0QBeSErI5ytPehbePFR4uFN6GcJiN5hD2PHfAOOpFJpc8VEh2wn&#10;wwpqxVkn62ttPONpiQtAtE1x2bStG6gqP28VWhOoq0v3G9Oid5e1HPUZPpzNQ89gd07/nImuMXBB&#10;tE2X4UVof+M5LR95WUQelhnywSlUp7ko7oCcEr7g4YKCjm0x6qHYM6w/rIhiGLUvOSTA3gxTR02d&#10;fOoQTmsBd0aOke+eGxiVpNVgYCVVU9VgfZNpLs4gUWXjGNokemdGd0Ge3tu/r1OoKF/QW5264tlR&#10;2T+V6TyBMvmxyCedxgsoKqvTBwX+X6e/rFMQ+R/Sqbtd4eVxF+74StqnbXfsdL19y5f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BYAAABk&#10;cnMvUEsBAhQAFAAAAAgAh07iQMpIFmfZAAAACwEAAA8AAAAAAAAAAQAgAAAAOAAAAGRycy9kb3du&#10;cmV2LnhtbFBLAQIUABQAAAAIAIdO4kD/6uIIzAIAABMIAAAOAAAAAAAAAAEAIAAAAD4BAABkcnMv&#10;ZTJvRG9jLnhtbFBLBQYAAAAABgAGAFkBAAB8BgAAAAA=&#10;">
                <o:lock v:ext="edit" aspectratio="f"/>
                <v:shape id="文本框 22" o:spid="_x0000_s1026" o:spt="202" type="#_x0000_t202" style="position:absolute;left:1134;top:1274;height:1020;width:340;v-text-anchor:bottom;" fillcolor="#FFFFFF" filled="t" stroked="t" coordsize="21600,21600" o:gfxdata="UEsFBgAAAAAAAAAAAAAAAAAAAAAAAFBLAwQKAAAAAACHTuJAAAAAAAAAAAAAAAAABAAAAGRycy9Q&#10;SwMEFAAAAAgAh07iQHLR4329AAAA2wAAAA8AAABkcnMvZG93bnJldi54bWxFj0+LwjAUxO+C3yE8&#10;YS+iaVV06Ro9COIeRLF6cG+P5m1TbF5KE/99e7Ow4HGYmd8w8+XD1uJGra8cK0iHCQjiwumKSwWn&#10;43rwCcIHZI21Y1LwJA/LRbczx0y7Ox/olodSRAj7DBWYEJpMSl8YsuiHriGO3q9rLYYo21LqFu8R&#10;bms5SpKptFhxXDDY0MpQccmvVkHfHM47HfwGTbr/seft7FnnM6U+emnyBSLQI7zD/+1vrWAyhr8v&#10;8QfIxQ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tHjfb0AAADbAAAADwAAAAAAAAABACAAAAA4AAAAZHJzL2Rvd25yZXYu&#10;eG1sUEsBAhQAFAAAAAgAh07iQDMvBZ47AAAAOQAAABAAAAAAAAAAAQAgAAAAIgEAAGRycy9zaGFw&#10;ZXhtbC54bWxQSwUGAAAAAAYABgBbAQAAzAMAAAAA&#10;">
                  <v:fill on="t" focussize="0,0"/>
                  <v:stroke weight="0.5pt" color="#FFFFFF" miterlimit="8" joinstyle="miter"/>
                  <v:imagedata o:title=""/>
                  <o:lock v:ext="edit" aspectratio="f"/>
                  <v:textbox inset="0mm,0mm,0mm,0mm" style="layout-flow:vertical;">
                    <w:txbxContent>
                      <w:p>
                        <w:pPr>
                          <w:jc w:val="left"/>
                          <w:rPr>
                            <w:rFonts w:ascii="宋体" w:hAnsi="宋体"/>
                            <w:sz w:val="18"/>
                            <w:szCs w:val="18"/>
                          </w:rPr>
                        </w:pPr>
                        <w:r>
                          <w:rPr>
                            <w:rFonts w:hint="eastAsia" w:ascii="宋体" w:hAnsi="宋体"/>
                            <w:sz w:val="18"/>
                            <w:szCs w:val="18"/>
                          </w:rPr>
                          <w:t>26</w:t>
                        </w:r>
                      </w:p>
                    </w:txbxContent>
                  </v:textbox>
                </v:shape>
                <v:shape id="文本框 8" o:spid="_x0000_s1026" o:spt="202" type="#_x0000_t202" style="position:absolute;left:15422;top:1133;height:2268;width:283;" fillcolor="#FFFFFF" filled="t" stroked="t" coordsize="21600,21600" o:gfxdata="UEsFBgAAAAAAAAAAAAAAAAAAAAAAAFBLAwQKAAAAAACHTuJAAAAAAAAAAAAAAAAABAAAAGRycy9Q&#10;SwMEFAAAAAgAh07iQApQ/HS8AAAA2wAAAA8AAABkcnMvZG93bnJldi54bWxFj82LwjAUxO/C/g/h&#10;LexNU0VUqlH8QNg9bvXi7dk829LmpSapH//9RljwOMz8ZpjF6mEacSPnK8sKhoMEBHFudcWFguNh&#10;35+B8AFZY2OZFDzJw2r50Vtgqu2df+mWhULEEvYpKihDaFMpfV6SQT+wLXH0LtYZDFG6QmqH91hu&#10;GjlKkok0WHFcKLGlbUl5nXVGwbjufjq8rkd7fai7zfN0nmY7p9TX5zCZgwj0CO/wP/2tIzeG15f4&#10;A+Ty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KUPx0vAAAANsAAAAPAAAAAAAAAAEAIAAAADgAAABkcnMvZG93bnJldi54&#10;bWxQSwECFAAUAAAACACHTuJAMy8FnjsAAAA5AAAAEAAAAAAAAAABACAAAAAhAQAAZHJzL3NoYXBl&#10;eG1sLnhtbFBLBQYAAAAABgAGAFsBAADLAwAAAAA=&#10;">
                  <v:fill on="t" focussize="0,0"/>
                  <v:stroke weight="0.5pt" color="#FFFFFF" miterlimit="8" joinstyle="miter"/>
                  <v:imagedata o:title=""/>
                  <o:lock v:ext="edit" aspectratio="f"/>
                  <v:textbox inset="0mm,0mm,0mm,0mm" style="layout-flow:vertical;">
                    <w:txbxContent>
                      <w:p>
                        <w:pPr>
                          <w:jc w:val="left"/>
                          <w:rPr>
                            <w:rFonts w:ascii="黑体" w:hAnsi="黑体" w:eastAsia="黑体"/>
                            <w:szCs w:val="21"/>
                          </w:rPr>
                        </w:pPr>
                        <w:r>
                          <w:rPr>
                            <w:rFonts w:ascii="黑体" w:hAnsi="黑体" w:eastAsia="黑体"/>
                            <w:szCs w:val="21"/>
                          </w:rPr>
                          <w:t>DB</w:t>
                        </w:r>
                        <w:r>
                          <w:rPr>
                            <w:rFonts w:hint="eastAsia" w:ascii="黑体" w:hAnsi="黑体" w:eastAsia="黑体"/>
                            <w:szCs w:val="21"/>
                          </w:rPr>
                          <w:t>4302/T XXXX—XXXX</w:t>
                        </w:r>
                      </w:p>
                    </w:txbxContent>
                  </v:textbox>
                </v:shape>
              </v:group>
            </w:pict>
          </mc:Fallback>
        </mc:AlternateContent>
      </w:r>
      <w:r>
        <w:rPr>
          <w:rFonts w:hint="eastAsia"/>
        </w:rPr>
        <w:t>驿站公示牌</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4111"/>
        <w:gridCol w:w="6095"/>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2" w:type="dxa"/>
            <w:shd w:val="clear" w:color="auto" w:fill="auto"/>
            <w:vAlign w:val="center"/>
          </w:tcPr>
          <w:p>
            <w:pPr>
              <w:pStyle w:val="21"/>
              <w:ind w:firstLine="0" w:firstLineChars="0"/>
              <w:jc w:val="center"/>
              <w:rPr>
                <w:sz w:val="18"/>
                <w:szCs w:val="18"/>
              </w:rPr>
            </w:pPr>
            <w:r>
              <w:rPr>
                <w:rFonts w:hint="eastAsia"/>
                <w:sz w:val="18"/>
                <w:szCs w:val="18"/>
              </w:rPr>
              <w:t>种类</w:t>
            </w:r>
          </w:p>
        </w:tc>
        <w:tc>
          <w:tcPr>
            <w:tcW w:w="4111" w:type="dxa"/>
            <w:shd w:val="clear" w:color="auto" w:fill="auto"/>
            <w:vAlign w:val="center"/>
          </w:tcPr>
          <w:p>
            <w:pPr>
              <w:pStyle w:val="21"/>
              <w:ind w:firstLine="0" w:firstLineChars="0"/>
              <w:jc w:val="center"/>
              <w:rPr>
                <w:sz w:val="18"/>
                <w:szCs w:val="18"/>
              </w:rPr>
            </w:pPr>
            <w:r>
              <w:rPr>
                <w:rFonts w:hint="eastAsia"/>
                <w:sz w:val="18"/>
                <w:szCs w:val="18"/>
              </w:rPr>
              <w:t>设计要求</w:t>
            </w:r>
          </w:p>
        </w:tc>
        <w:tc>
          <w:tcPr>
            <w:tcW w:w="6095" w:type="dxa"/>
            <w:shd w:val="clear" w:color="auto" w:fill="auto"/>
            <w:vAlign w:val="center"/>
          </w:tcPr>
          <w:p>
            <w:pPr>
              <w:pStyle w:val="21"/>
              <w:ind w:firstLine="0" w:firstLineChars="0"/>
              <w:jc w:val="center"/>
              <w:rPr>
                <w:sz w:val="18"/>
                <w:szCs w:val="18"/>
              </w:rPr>
            </w:pPr>
            <w:r>
              <w:rPr>
                <w:rFonts w:hint="eastAsia"/>
                <w:sz w:val="18"/>
                <w:szCs w:val="18"/>
              </w:rPr>
              <w:t>设计图样</w:t>
            </w:r>
          </w:p>
        </w:tc>
        <w:tc>
          <w:tcPr>
            <w:tcW w:w="2126" w:type="dxa"/>
            <w:shd w:val="clear" w:color="auto" w:fill="auto"/>
            <w:vAlign w:val="center"/>
          </w:tcPr>
          <w:p>
            <w:pPr>
              <w:pStyle w:val="21"/>
              <w:ind w:firstLine="0" w:firstLineChars="0"/>
              <w:jc w:val="center"/>
              <w:rPr>
                <w:sz w:val="18"/>
                <w:szCs w:val="18"/>
              </w:rPr>
            </w:pPr>
            <w:r>
              <w:rPr>
                <w:rFonts w:hint="eastAsia"/>
                <w:sz w:val="18"/>
                <w:szCs w:val="18"/>
              </w:rPr>
              <w:t>设置要求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0" w:hRule="atLeast"/>
          <w:jc w:val="center"/>
        </w:trPr>
        <w:tc>
          <w:tcPr>
            <w:tcW w:w="992" w:type="dxa"/>
            <w:shd w:val="clear" w:color="auto" w:fill="auto"/>
            <w:vAlign w:val="center"/>
          </w:tcPr>
          <w:p>
            <w:pPr>
              <w:jc w:val="center"/>
              <w:rPr>
                <w:rFonts w:ascii="宋体"/>
                <w:sz w:val="18"/>
              </w:rPr>
            </w:pPr>
            <w:r>
              <w:rPr>
                <w:rFonts w:hint="eastAsia"/>
                <w:sz w:val="18"/>
                <w:szCs w:val="18"/>
              </w:rPr>
              <w:t>管理牌</w:t>
            </w:r>
          </w:p>
        </w:tc>
        <w:tc>
          <w:tcPr>
            <w:tcW w:w="4111" w:type="dxa"/>
            <w:shd w:val="clear" w:color="auto" w:fill="auto"/>
            <w:vAlign w:val="center"/>
          </w:tcPr>
          <w:p>
            <w:pPr>
              <w:rPr>
                <w:rStyle w:val="133"/>
                <w:rFonts w:ascii="宋体" w:hAnsi="宋体"/>
                <w:color w:val="000000"/>
                <w:kern w:val="0"/>
                <w:sz w:val="18"/>
              </w:rPr>
            </w:pPr>
            <w:r>
              <w:rPr>
                <w:rStyle w:val="133"/>
                <w:rFonts w:hint="eastAsia" w:ascii="宋体" w:hAnsi="宋体"/>
                <w:color w:val="000000"/>
                <w:kern w:val="0"/>
                <w:sz w:val="18"/>
              </w:rPr>
              <w:t>1.应采用不锈钢切割焊接，镀黑钛。</w:t>
            </w:r>
          </w:p>
          <w:p>
            <w:pPr>
              <w:rPr>
                <w:rStyle w:val="133"/>
                <w:rFonts w:ascii="宋体" w:hAnsi="宋体"/>
                <w:color w:val="000000"/>
                <w:kern w:val="0"/>
                <w:sz w:val="18"/>
              </w:rPr>
            </w:pPr>
            <w:r>
              <w:rPr>
                <w:rStyle w:val="133"/>
                <w:rFonts w:hint="eastAsia" w:ascii="宋体" w:hAnsi="宋体"/>
                <w:color w:val="000000"/>
                <w:kern w:val="0"/>
                <w:sz w:val="18"/>
              </w:rPr>
              <w:t>2.字样采用图文丝印。</w:t>
            </w:r>
          </w:p>
          <w:p>
            <w:pPr>
              <w:rPr>
                <w:rStyle w:val="133"/>
                <w:rFonts w:ascii="宋体" w:hAnsi="宋体"/>
                <w:color w:val="000000"/>
                <w:kern w:val="0"/>
                <w:sz w:val="18"/>
              </w:rPr>
            </w:pPr>
            <w:r>
              <w:rPr>
                <w:rStyle w:val="133"/>
                <w:rFonts w:hint="eastAsia" w:ascii="宋体" w:hAnsi="宋体"/>
                <w:color w:val="000000"/>
                <w:kern w:val="0"/>
                <w:sz w:val="18"/>
              </w:rPr>
              <w:t>3.不同公示内容之间刨槽2</w:t>
            </w:r>
            <w:r>
              <w:rPr>
                <w:rStyle w:val="133"/>
                <w:rFonts w:ascii="宋体" w:hAnsi="宋体"/>
                <w:color w:val="000000"/>
                <w:kern w:val="0"/>
                <w:sz w:val="18"/>
              </w:rPr>
              <w:t> </w:t>
            </w:r>
            <w:r>
              <w:rPr>
                <w:rStyle w:val="133"/>
                <w:rFonts w:hint="eastAsia" w:ascii="宋体" w:hAnsi="宋体"/>
                <w:color w:val="000000"/>
                <w:kern w:val="0"/>
                <w:sz w:val="18"/>
              </w:rPr>
              <w:t>mm隔断。</w:t>
            </w:r>
          </w:p>
          <w:p>
            <w:pPr>
              <w:rPr>
                <w:rStyle w:val="133"/>
                <w:rFonts w:ascii="宋体" w:hAnsi="宋体"/>
                <w:color w:val="000000"/>
                <w:kern w:val="0"/>
                <w:sz w:val="18"/>
              </w:rPr>
            </w:pPr>
            <w:r>
              <w:rPr>
                <w:rStyle w:val="133"/>
                <w:rFonts w:hint="eastAsia" w:ascii="宋体" w:hAnsi="宋体"/>
                <w:color w:val="000000"/>
                <w:kern w:val="0"/>
                <w:sz w:val="18"/>
              </w:rPr>
              <w:t>4.</w:t>
            </w:r>
            <w:r>
              <w:rPr>
                <w:rFonts w:hint="eastAsia"/>
                <w:sz w:val="18"/>
                <w:szCs w:val="18"/>
              </w:rPr>
              <w:t>公示内容包括驿站管理信息、驿站管理员职责等内容。</w:t>
            </w:r>
          </w:p>
        </w:tc>
        <w:tc>
          <w:tcPr>
            <w:tcW w:w="6095" w:type="dxa"/>
            <w:shd w:val="clear" w:color="auto" w:fill="auto"/>
            <w:vAlign w:val="center"/>
          </w:tcPr>
          <w:p>
            <w:pPr>
              <w:jc w:val="center"/>
              <w:rPr>
                <w:rFonts w:ascii="宋体"/>
                <w:sz w:val="18"/>
              </w:rPr>
            </w:pPr>
            <w:r>
              <w:drawing>
                <wp:anchor distT="0" distB="0" distL="114300" distR="114300" simplePos="0" relativeHeight="251687936" behindDoc="0" locked="0" layoutInCell="1" allowOverlap="1">
                  <wp:simplePos x="0" y="0"/>
                  <wp:positionH relativeFrom="column">
                    <wp:posOffset>162560</wp:posOffset>
                  </wp:positionH>
                  <wp:positionV relativeFrom="paragraph">
                    <wp:posOffset>-81915</wp:posOffset>
                  </wp:positionV>
                  <wp:extent cx="3638550" cy="3648710"/>
                  <wp:effectExtent l="0" t="0" r="0" b="8890"/>
                  <wp:wrapNone/>
                  <wp:docPr id="11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2" name="图片 1"/>
                          <pic:cNvPicPr>
                            <a:picLocks noChangeAspect="true" noChangeArrowheads="true"/>
                          </pic:cNvPicPr>
                        </pic:nvPicPr>
                        <pic:blipFill>
                          <a:blip r:embed="rId40">
                            <a:extLst>
                              <a:ext uri="{28A0092B-C50C-407E-A947-70E740481C1C}">
                                <a14:useLocalDpi xmlns:a14="http://schemas.microsoft.com/office/drawing/2010/main" val="false"/>
                              </a:ext>
                            </a:extLst>
                          </a:blip>
                          <a:srcRect r="2980"/>
                          <a:stretch>
                            <a:fillRect/>
                          </a:stretch>
                        </pic:blipFill>
                        <pic:spPr>
                          <a:xfrm>
                            <a:off x="0" y="0"/>
                            <a:ext cx="3638550" cy="3648710"/>
                          </a:xfrm>
                          <a:prstGeom prst="rect">
                            <a:avLst/>
                          </a:prstGeom>
                          <a:noFill/>
                          <a:ln>
                            <a:noFill/>
                          </a:ln>
                        </pic:spPr>
                      </pic:pic>
                    </a:graphicData>
                  </a:graphic>
                </wp:anchor>
              </w:drawing>
            </w:r>
          </w:p>
        </w:tc>
        <w:tc>
          <w:tcPr>
            <w:tcW w:w="2126" w:type="dxa"/>
            <w:shd w:val="clear" w:color="auto" w:fill="auto"/>
            <w:vAlign w:val="center"/>
          </w:tcPr>
          <w:p>
            <w:pPr>
              <w:pStyle w:val="21"/>
              <w:ind w:firstLine="0" w:firstLineChars="0"/>
              <w:rPr>
                <w:rStyle w:val="133"/>
                <w:sz w:val="18"/>
                <w:szCs w:val="18"/>
              </w:rPr>
            </w:pPr>
            <w:r>
              <w:rPr>
                <w:rFonts w:hint="eastAsia"/>
                <w:sz w:val="18"/>
                <w:szCs w:val="18"/>
              </w:rPr>
              <w:t>应设置在显著位置</w:t>
            </w:r>
            <w:r>
              <w:rPr>
                <w:rStyle w:val="133"/>
                <w:rFonts w:hint="eastAsia" w:hAnsi="宋体"/>
                <w:color w:val="000000"/>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992" w:type="dxa"/>
            <w:shd w:val="clear" w:color="auto" w:fill="auto"/>
            <w:vAlign w:val="center"/>
          </w:tcPr>
          <w:p>
            <w:pPr>
              <w:jc w:val="center"/>
              <w:rPr>
                <w:sz w:val="18"/>
                <w:szCs w:val="18"/>
              </w:rPr>
            </w:pPr>
            <w:r>
              <w:rPr>
                <w:rFonts w:hint="eastAsia"/>
                <w:sz w:val="18"/>
                <w:szCs w:val="18"/>
              </w:rPr>
              <w:t>保洁</w:t>
            </w:r>
          </w:p>
          <w:p>
            <w:pPr>
              <w:jc w:val="center"/>
              <w:rPr>
                <w:rFonts w:ascii="宋体"/>
                <w:sz w:val="18"/>
              </w:rPr>
            </w:pPr>
            <w:r>
              <w:rPr>
                <w:rFonts w:hint="eastAsia"/>
                <w:sz w:val="18"/>
                <w:szCs w:val="18"/>
              </w:rPr>
              <w:t>标准牌</w:t>
            </w:r>
          </w:p>
        </w:tc>
        <w:tc>
          <w:tcPr>
            <w:tcW w:w="4111" w:type="dxa"/>
            <w:shd w:val="clear" w:color="auto" w:fill="auto"/>
            <w:vAlign w:val="center"/>
          </w:tcPr>
          <w:p>
            <w:pPr>
              <w:rPr>
                <w:rFonts w:ascii="宋体" w:hAnsi="宋体"/>
                <w:sz w:val="18"/>
                <w:szCs w:val="18"/>
              </w:rPr>
            </w:pPr>
            <w:r>
              <w:rPr>
                <w:rStyle w:val="133"/>
                <w:rFonts w:hint="eastAsia" w:ascii="宋体" w:hAnsi="宋体"/>
                <w:color w:val="000000"/>
                <w:kern w:val="0"/>
                <w:sz w:val="18"/>
                <w:szCs w:val="18"/>
              </w:rPr>
              <w:t>1.应</w:t>
            </w:r>
            <w:r>
              <w:rPr>
                <w:rFonts w:hint="eastAsia" w:ascii="宋体" w:hAnsi="宋体"/>
                <w:sz w:val="18"/>
                <w:szCs w:val="18"/>
              </w:rPr>
              <w:t>根据实际自行设计，尺寸应统一。</w:t>
            </w:r>
          </w:p>
          <w:p>
            <w:pPr>
              <w:rPr>
                <w:rStyle w:val="133"/>
                <w:sz w:val="18"/>
                <w:szCs w:val="18"/>
              </w:rPr>
            </w:pPr>
            <w:r>
              <w:rPr>
                <w:rFonts w:hint="eastAsia" w:ascii="宋体" w:hAnsi="宋体"/>
                <w:sz w:val="18"/>
                <w:szCs w:val="18"/>
              </w:rPr>
              <w:t>2.内容包括：保洁标准、服务公约、质量要求、服务规范等。</w:t>
            </w:r>
          </w:p>
        </w:tc>
        <w:tc>
          <w:tcPr>
            <w:tcW w:w="6095" w:type="dxa"/>
            <w:shd w:val="clear" w:color="auto" w:fill="auto"/>
            <w:vAlign w:val="center"/>
          </w:tcPr>
          <w:p>
            <w:pPr>
              <w:jc w:val="center"/>
              <w:rPr>
                <w:rFonts w:ascii="宋体"/>
                <w:sz w:val="18"/>
              </w:rPr>
            </w:pPr>
            <w:r>
              <w:rPr>
                <w:rFonts w:hint="eastAsia"/>
              </w:rPr>
              <w:t>——</w:t>
            </w:r>
          </w:p>
        </w:tc>
        <w:tc>
          <w:tcPr>
            <w:tcW w:w="2126" w:type="dxa"/>
            <w:shd w:val="clear" w:color="auto" w:fill="auto"/>
            <w:vAlign w:val="center"/>
          </w:tcPr>
          <w:p>
            <w:pPr>
              <w:pStyle w:val="21"/>
              <w:ind w:firstLine="0" w:firstLineChars="0"/>
              <w:rPr>
                <w:rStyle w:val="133"/>
                <w:sz w:val="18"/>
                <w:szCs w:val="18"/>
              </w:rPr>
            </w:pPr>
            <w:r>
              <w:rPr>
                <w:rFonts w:hint="eastAsia"/>
                <w:sz w:val="18"/>
                <w:szCs w:val="18"/>
              </w:rPr>
              <w:t>应设置在显著位置</w:t>
            </w:r>
            <w:r>
              <w:rPr>
                <w:rStyle w:val="133"/>
                <w:rFonts w:hint="eastAsia" w:hAnsi="宋体"/>
                <w:color w:val="000000"/>
                <w:sz w:val="18"/>
              </w:rPr>
              <w:t>。</w:t>
            </w:r>
          </w:p>
        </w:tc>
      </w:tr>
    </w:tbl>
    <w:p>
      <w:pPr>
        <w:pStyle w:val="21"/>
        <w:ind w:firstLine="0" w:firstLineChars="0"/>
      </w:pPr>
    </w:p>
    <w:p>
      <w:pPr>
        <w:pStyle w:val="21"/>
        <w:ind w:firstLine="0" w:firstLineChars="0"/>
      </w:pPr>
    </w:p>
    <w:p>
      <w:pPr>
        <w:pStyle w:val="82"/>
        <w:numPr>
          <w:ilvl w:val="1"/>
          <w:numId w:val="22"/>
        </w:numPr>
        <w:spacing w:before="156" w:after="156"/>
        <w:ind w:left="0" w:right="840" w:rightChars="400" w:firstLine="0"/>
      </w:pPr>
      <w:r>
        <w:rPr>
          <w:rFonts w:hint="eastAsia"/>
        </w:rPr>
        <w:t>驿站宣传牌</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3297"/>
        <w:gridCol w:w="6804"/>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shd w:val="clear" w:color="auto" w:fill="auto"/>
            <w:vAlign w:val="center"/>
          </w:tcPr>
          <w:p>
            <w:pPr>
              <w:pStyle w:val="21"/>
              <w:ind w:firstLine="0" w:firstLineChars="0"/>
              <w:jc w:val="center"/>
              <w:rPr>
                <w:sz w:val="18"/>
                <w:szCs w:val="18"/>
              </w:rPr>
            </w:pPr>
            <w:r>
              <w:rPr>
                <w:rFonts w:hint="eastAsia"/>
                <w:sz w:val="18"/>
                <w:szCs w:val="18"/>
              </w:rPr>
              <w:t>种类</w:t>
            </w:r>
          </w:p>
        </w:tc>
        <w:tc>
          <w:tcPr>
            <w:tcW w:w="3297" w:type="dxa"/>
            <w:shd w:val="clear" w:color="auto" w:fill="auto"/>
            <w:vAlign w:val="center"/>
          </w:tcPr>
          <w:p>
            <w:pPr>
              <w:pStyle w:val="21"/>
              <w:ind w:firstLine="0" w:firstLineChars="0"/>
              <w:jc w:val="center"/>
              <w:rPr>
                <w:sz w:val="18"/>
                <w:szCs w:val="18"/>
              </w:rPr>
            </w:pPr>
            <w:r>
              <w:rPr>
                <w:rFonts w:hint="eastAsia"/>
                <w:sz w:val="18"/>
                <w:szCs w:val="18"/>
              </w:rPr>
              <w:t>设计要求</w:t>
            </w:r>
          </w:p>
        </w:tc>
        <w:tc>
          <w:tcPr>
            <w:tcW w:w="6804" w:type="dxa"/>
            <w:shd w:val="clear" w:color="auto" w:fill="auto"/>
            <w:vAlign w:val="center"/>
          </w:tcPr>
          <w:p>
            <w:pPr>
              <w:pStyle w:val="21"/>
              <w:ind w:firstLine="0" w:firstLineChars="0"/>
              <w:jc w:val="center"/>
              <w:rPr>
                <w:sz w:val="18"/>
                <w:szCs w:val="18"/>
              </w:rPr>
            </w:pPr>
            <w:r>
              <w:rPr>
                <w:rFonts w:hint="eastAsia"/>
                <w:sz w:val="18"/>
                <w:szCs w:val="18"/>
              </w:rPr>
              <w:t>设计图样</w:t>
            </w:r>
          </w:p>
        </w:tc>
        <w:tc>
          <w:tcPr>
            <w:tcW w:w="2126" w:type="dxa"/>
            <w:shd w:val="clear" w:color="auto" w:fill="auto"/>
            <w:vAlign w:val="center"/>
          </w:tcPr>
          <w:p>
            <w:pPr>
              <w:pStyle w:val="21"/>
              <w:ind w:firstLine="0" w:firstLineChars="0"/>
              <w:jc w:val="center"/>
              <w:rPr>
                <w:sz w:val="18"/>
                <w:szCs w:val="18"/>
              </w:rPr>
            </w:pPr>
            <w:r>
              <w:rPr>
                <w:rFonts w:hint="eastAsia"/>
                <w:sz w:val="18"/>
                <w:szCs w:val="18"/>
              </w:rPr>
              <w:t>设置要求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jc w:val="center"/>
        </w:trPr>
        <w:tc>
          <w:tcPr>
            <w:tcW w:w="1097" w:type="dxa"/>
            <w:shd w:val="clear" w:color="auto" w:fill="auto"/>
            <w:vAlign w:val="center"/>
          </w:tcPr>
          <w:p>
            <w:pPr>
              <w:jc w:val="center"/>
              <w:rPr>
                <w:rFonts w:ascii="宋体"/>
                <w:sz w:val="18"/>
              </w:rPr>
            </w:pPr>
            <w:r>
              <w:rPr>
                <w:rFonts w:hint="eastAsia" w:ascii="宋体"/>
                <w:sz w:val="18"/>
              </w:rPr>
              <w:t>党建</w:t>
            </w:r>
          </w:p>
          <w:p>
            <w:pPr>
              <w:jc w:val="center"/>
              <w:rPr>
                <w:sz w:val="18"/>
                <w:szCs w:val="18"/>
              </w:rPr>
            </w:pPr>
            <w:r>
              <w:rPr>
                <w:rFonts w:hint="eastAsia" w:ascii="宋体"/>
                <w:sz w:val="18"/>
              </w:rPr>
              <w:t>宣传牌</w:t>
            </w:r>
          </w:p>
        </w:tc>
        <w:tc>
          <w:tcPr>
            <w:tcW w:w="3297" w:type="dxa"/>
            <w:shd w:val="clear" w:color="auto" w:fill="auto"/>
            <w:vAlign w:val="center"/>
          </w:tcPr>
          <w:p>
            <w:pPr>
              <w:spacing w:before="62" w:beforeLines="20" w:after="62" w:afterLines="20"/>
              <w:rPr>
                <w:rFonts w:ascii="宋体"/>
                <w:sz w:val="18"/>
              </w:rPr>
            </w:pPr>
            <w:r>
              <w:rPr>
                <w:rFonts w:hint="eastAsia" w:ascii="宋体"/>
                <w:sz w:val="18"/>
              </w:rPr>
              <w:t>1.材质使用1</w:t>
            </w:r>
            <w:r>
              <w:rPr>
                <w:rFonts w:ascii="宋体"/>
                <w:sz w:val="18"/>
              </w:rPr>
              <w:t> </w:t>
            </w:r>
            <w:r>
              <w:rPr>
                <w:rFonts w:hint="eastAsia" w:ascii="宋体"/>
                <w:sz w:val="18"/>
              </w:rPr>
              <w:t>cm后结皮PVC板为底板，再贴3</w:t>
            </w:r>
            <w:r>
              <w:rPr>
                <w:rFonts w:ascii="宋体"/>
                <w:sz w:val="18"/>
              </w:rPr>
              <w:t> </w:t>
            </w:r>
            <w:r>
              <w:rPr>
                <w:rFonts w:hint="eastAsia" w:ascii="宋体"/>
                <w:sz w:val="18"/>
              </w:rPr>
              <w:t>mm亚克力背UV印图形，党旗为3</w:t>
            </w:r>
            <w:r>
              <w:rPr>
                <w:rFonts w:ascii="宋体"/>
                <w:sz w:val="18"/>
              </w:rPr>
              <w:t> </w:t>
            </w:r>
            <w:r>
              <w:rPr>
                <w:rFonts w:hint="eastAsia" w:ascii="宋体"/>
                <w:sz w:val="18"/>
              </w:rPr>
              <w:t>mm亚克力、主标题为1</w:t>
            </w:r>
            <w:r>
              <w:rPr>
                <w:rFonts w:ascii="宋体"/>
                <w:sz w:val="18"/>
              </w:rPr>
              <w:t> </w:t>
            </w:r>
            <w:r>
              <w:rPr>
                <w:rFonts w:hint="eastAsia" w:ascii="宋体"/>
                <w:sz w:val="18"/>
              </w:rPr>
              <w:t>cm水晶字，城市管理执法LOGO为5</w:t>
            </w:r>
            <w:r>
              <w:rPr>
                <w:rFonts w:ascii="宋体"/>
                <w:sz w:val="18"/>
              </w:rPr>
              <w:t> </w:t>
            </w:r>
            <w:r>
              <w:rPr>
                <w:rFonts w:hint="eastAsia" w:ascii="宋体"/>
                <w:sz w:val="18"/>
              </w:rPr>
              <w:t>mm亚克力背UV。</w:t>
            </w:r>
          </w:p>
          <w:p>
            <w:pPr>
              <w:spacing w:before="62" w:beforeLines="20" w:after="62" w:afterLines="20"/>
              <w:rPr>
                <w:rFonts w:ascii="宋体"/>
                <w:sz w:val="18"/>
              </w:rPr>
            </w:pPr>
            <w:r>
              <w:rPr>
                <w:rFonts w:hint="eastAsia" w:ascii="宋体"/>
                <w:sz w:val="18"/>
              </w:rPr>
              <w:t>2.字体大小应根据墙壁面积确定，公示信息应可随时更换内容。</w:t>
            </w:r>
          </w:p>
        </w:tc>
        <w:tc>
          <w:tcPr>
            <w:tcW w:w="6804" w:type="dxa"/>
            <w:shd w:val="clear" w:color="auto" w:fill="auto"/>
            <w:vAlign w:val="center"/>
          </w:tcPr>
          <w:p>
            <w:pPr>
              <w:jc w:val="center"/>
              <w:rPr>
                <w:rFonts w:ascii="宋体"/>
                <w:sz w:val="18"/>
              </w:rPr>
            </w:pPr>
            <w:r>
              <w:drawing>
                <wp:anchor distT="0" distB="0" distL="114300" distR="114300" simplePos="0" relativeHeight="251689984" behindDoc="0" locked="0" layoutInCell="1" allowOverlap="1">
                  <wp:simplePos x="0" y="0"/>
                  <wp:positionH relativeFrom="column">
                    <wp:posOffset>198755</wp:posOffset>
                  </wp:positionH>
                  <wp:positionV relativeFrom="paragraph">
                    <wp:posOffset>-27305</wp:posOffset>
                  </wp:positionV>
                  <wp:extent cx="3828415" cy="2529840"/>
                  <wp:effectExtent l="0" t="0" r="635" b="3810"/>
                  <wp:wrapNone/>
                  <wp:docPr id="11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9" name="图片 1"/>
                          <pic:cNvPicPr>
                            <a:picLocks noChangeAspect="true" noChangeArrowheads="true"/>
                          </pic:cNvPicPr>
                        </pic:nvPicPr>
                        <pic:blipFill>
                          <a:blip r:embed="rId41">
                            <a:extLst>
                              <a:ext uri="{28A0092B-C50C-407E-A947-70E740481C1C}">
                                <a14:useLocalDpi xmlns:a14="http://schemas.microsoft.com/office/drawing/2010/main" val="false"/>
                              </a:ext>
                            </a:extLst>
                          </a:blip>
                          <a:srcRect/>
                          <a:stretch>
                            <a:fillRect/>
                          </a:stretch>
                        </pic:blipFill>
                        <pic:spPr>
                          <a:xfrm>
                            <a:off x="0" y="0"/>
                            <a:ext cx="3828415" cy="2529840"/>
                          </a:xfrm>
                          <a:prstGeom prst="rect">
                            <a:avLst/>
                          </a:prstGeom>
                          <a:noFill/>
                          <a:ln>
                            <a:noFill/>
                          </a:ln>
                        </pic:spPr>
                      </pic:pic>
                    </a:graphicData>
                  </a:graphic>
                </wp:anchor>
              </w:drawing>
            </w:r>
          </w:p>
        </w:tc>
        <w:tc>
          <w:tcPr>
            <w:tcW w:w="2126" w:type="dxa"/>
            <w:shd w:val="clear" w:color="auto" w:fill="auto"/>
            <w:vAlign w:val="center"/>
          </w:tcPr>
          <w:p>
            <w:pPr>
              <w:pStyle w:val="21"/>
              <w:ind w:firstLine="0" w:firstLineChars="0"/>
              <w:rPr>
                <w:sz w:val="18"/>
                <w:szCs w:val="18"/>
              </w:rPr>
            </w:pPr>
            <w:r>
              <w:rPr>
                <w:rFonts w:hint="eastAsia"/>
                <w:sz w:val="18"/>
                <w:szCs w:val="18"/>
              </w:rPr>
              <w:t>应根据驿站实际设置在合适位置。</w:t>
            </w:r>
          </w:p>
        </w:tc>
      </w:tr>
    </w:tbl>
    <w:p>
      <w:pPr>
        <w:pStyle w:val="21"/>
        <w:ind w:firstLine="0" w:firstLineChars="0"/>
      </w:pPr>
    </w:p>
    <w:p>
      <w:pPr>
        <w:pStyle w:val="21"/>
        <w:ind w:firstLine="0" w:firstLineChars="0"/>
      </w:pPr>
      <w:r>
        <w:rPr>
          <w:rFonts w:hint="eastAsia"/>
        </w:rPr>
        <mc:AlternateContent>
          <mc:Choice Requires="wpg">
            <w:drawing>
              <wp:anchor distT="0" distB="0" distL="114300" distR="114300" simplePos="0" relativeHeight="251707392" behindDoc="0" locked="0" layoutInCell="1" allowOverlap="1">
                <wp:simplePos x="0" y="0"/>
                <wp:positionH relativeFrom="column">
                  <wp:posOffset>194310</wp:posOffset>
                </wp:positionH>
                <wp:positionV relativeFrom="paragraph">
                  <wp:posOffset>901700</wp:posOffset>
                </wp:positionV>
                <wp:extent cx="9252585" cy="1440180"/>
                <wp:effectExtent l="0" t="0" r="24765" b="26670"/>
                <wp:wrapNone/>
                <wp:docPr id="45" name="Group 85"/>
                <wp:cNvGraphicFramePr/>
                <a:graphic xmlns:a="http://schemas.openxmlformats.org/drawingml/2006/main">
                  <a:graphicData uri="http://schemas.microsoft.com/office/word/2010/wordprocessingGroup">
                    <wpg:wgp>
                      <wpg:cNvGrpSpPr/>
                      <wpg:grpSpPr>
                        <a:xfrm>
                          <a:off x="0" y="0"/>
                          <a:ext cx="9252585" cy="1440180"/>
                          <a:chOff x="1134" y="1133"/>
                          <a:chExt cx="14571" cy="2268"/>
                        </a:xfrm>
                      </wpg:grpSpPr>
                      <wps:wsp>
                        <wps:cNvPr id="46" name="文本框 22"/>
                        <wps:cNvSpPr txBox="true">
                          <a:spLocks noChangeArrowheads="true"/>
                        </wps:cNvSpPr>
                        <wps:spPr bwMode="auto">
                          <a:xfrm>
                            <a:off x="1134" y="2225"/>
                            <a:ext cx="340" cy="1020"/>
                          </a:xfrm>
                          <a:prstGeom prst="rect">
                            <a:avLst/>
                          </a:prstGeom>
                          <a:solidFill>
                            <a:srgbClr val="FFFFFF"/>
                          </a:solidFill>
                          <a:ln w="6350">
                            <a:solidFill>
                              <a:srgbClr val="FFFFFF"/>
                            </a:solidFill>
                            <a:miter lim="800000"/>
                          </a:ln>
                        </wps:spPr>
                        <wps:txbx>
                          <w:txbxContent>
                            <w:p>
                              <w:pPr>
                                <w:jc w:val="right"/>
                                <w:rPr>
                                  <w:rFonts w:ascii="宋体" w:hAnsi="宋体"/>
                                  <w:sz w:val="18"/>
                                  <w:szCs w:val="18"/>
                                </w:rPr>
                              </w:pPr>
                              <w:r>
                                <w:rPr>
                                  <w:rFonts w:hint="eastAsia" w:ascii="宋体" w:hAnsi="宋体"/>
                                  <w:sz w:val="18"/>
                                  <w:szCs w:val="18"/>
                                </w:rPr>
                                <w:t>27</w:t>
                              </w:r>
                            </w:p>
                          </w:txbxContent>
                        </wps:txbx>
                        <wps:bodyPr rot="0" vert="vert" wrap="square" lIns="0" tIns="0" rIns="0" bIns="0" anchor="b" anchorCtr="false" upright="true">
                          <a:noAutofit/>
                        </wps:bodyPr>
                      </wps:wsp>
                      <wps:wsp>
                        <wps:cNvPr id="47" name="文本框 8"/>
                        <wps:cNvSpPr txBox="true">
                          <a:spLocks noChangeArrowheads="true"/>
                        </wps:cNvSpPr>
                        <wps:spPr bwMode="auto">
                          <a:xfrm>
                            <a:off x="15422" y="1133"/>
                            <a:ext cx="283" cy="2268"/>
                          </a:xfrm>
                          <a:prstGeom prst="rect">
                            <a:avLst/>
                          </a:prstGeom>
                          <a:solidFill>
                            <a:srgbClr val="FFFFFF"/>
                          </a:solidFill>
                          <a:ln w="6350">
                            <a:solidFill>
                              <a:srgbClr val="FFFFFF"/>
                            </a:solidFill>
                            <a:miter lim="800000"/>
                          </a:ln>
                        </wps:spPr>
                        <wps:txbx>
                          <w:txbxContent>
                            <w:p>
                              <w:pPr>
                                <w:jc w:val="left"/>
                                <w:rPr>
                                  <w:rFonts w:ascii="黑体" w:hAnsi="黑体" w:eastAsia="黑体"/>
                                  <w:szCs w:val="21"/>
                                </w:rPr>
                              </w:pPr>
                              <w:r>
                                <w:rPr>
                                  <w:rFonts w:ascii="黑体" w:hAnsi="黑体" w:eastAsia="黑体"/>
                                  <w:szCs w:val="21"/>
                                </w:rPr>
                                <w:t>DB</w:t>
                              </w:r>
                              <w:r>
                                <w:rPr>
                                  <w:rFonts w:hint="eastAsia" w:ascii="黑体" w:hAnsi="黑体" w:eastAsia="黑体"/>
                                  <w:szCs w:val="21"/>
                                </w:rPr>
                                <w:t>4302/T XXXX—XXXX</w:t>
                              </w:r>
                            </w:p>
                          </w:txbxContent>
                        </wps:txbx>
                        <wps:bodyPr rot="0" vert="vert" wrap="square" lIns="0" tIns="0" rIns="0" bIns="0" anchor="t" anchorCtr="false" upright="true">
                          <a:noAutofit/>
                        </wps:bodyPr>
                      </wps:wsp>
                    </wpg:wgp>
                  </a:graphicData>
                </a:graphic>
              </wp:anchor>
            </w:drawing>
          </mc:Choice>
          <mc:Fallback>
            <w:pict>
              <v:group id="Group 85" o:spid="_x0000_s1026" o:spt="203" style="position:absolute;left:0pt;margin-left:15.3pt;margin-top:71pt;height:113.4pt;width:728.55pt;z-index:251707392;mso-width-relative:page;mso-height-relative:page;" coordorigin="1134,1133" coordsize="14571,2268" o:gfxdata="UEsFBgAAAAAAAAAAAAAAAAAAAAAAAFBLAwQKAAAAAACHTuJAAAAAAAAAAAAAAAAABAAAAGRycy9Q&#10;SwMEFAAAAAgAh07iQDnTsdvaAAAACwEAAA8AAABkcnMvZG93bnJldi54bWxNj0FrwkAQhe+F/odl&#10;hN7qbtTGELORIm1PUqgWSm9rMibB7GzIron++46nepz3Pt68l60vthUD9r5xpCGaKhBIhSsbqjR8&#10;79+fExA+GCpN6wg1XNHDOn98yExaupG+cNiFSnAI+dRoqEPoUil9UaM1fuo6JPaOrrcm8NlXsuzN&#10;yOG2lTOlYmlNQ/yhNh1uaixOu7PV8DGa8XUevQ3b03Fz/d2/fP5sI9T6aRKpFYiAl/APw60+V4ec&#10;Ox3cmUovWg1zFTPJ+mLGm27AIlkuQRzYipMEZJ7J+w35H1BLAwQUAAAACACHTuJAdJH9gsYCAAAT&#10;CAAADgAAAGRycy9lMm9Eb2MueG1s7ZXLbtQwFIb3SLyD5T3NZZLpEDVTlZZWSAUqFR7AcZyLSGxj&#10;eybpC8AbsGLDnuea5+DYuXRohQTlsmIWHju2f5/znXPso+O+bdCWKV0LnuLgwMeIcSrympcpfvvm&#10;/MkKI20Iz0kjOEvxDdP4eP340VEnExaKSjQ5UwhEuE46meLKGJl4nqYVa4k+EJJxmCyEaomBoSq9&#10;XJEO1NvGC31/6XVC5VIJyrSGr2fDJF47/aJg1LwuCs0MalIMthnXKtdmtvXWRyQpFZFVTUczyAOs&#10;aEnN4dBZ6owYgjaqvifV1lQJLQpzQEXriaKoKXM+gDeBf8ebCyU20vlSJl0pZ0yA9g6nB8vSV9sr&#10;heo8xVGMESctxMgdi1axhdPJMoE1F0peyys1fiiHkfW3L1Rr/8ET1DusNzNW1htE4ePTMA5jkEMU&#10;5oIo8oPVCJ5WEB27LwgWEUZ2OlgshqDQ6vm4P4jiw2DYHYbLlZ32ppM9a+BsTychi/QtKP17oK4r&#10;Ipnjry2ECdRyArX79HH3+evuywcUhgMst86SQqZ/JsAxozZWgSRaXgr6TiMuTivCS3ailOgqRnKw&#10;0S2yXln74SArYNFr2AVSWfdS5BAXsjHCad2BPsMLw9AFjSQT+kUESe+w+6FjPoMjiVTaXDDRIttJ&#10;sYJacepke6nNwHha4hwQTZ2f103jBqrMThuFtgTq6tz9xrDo/WUNR12Kl4vYHxjsz+mfk2hrAxdE&#10;U7cpXvn2N57T8JGXRTTAMn3WuwzVSSbyGyCnxFDwcEFBx7YYdVDsKdbvN0QxjJoXHAJgb4apo6ZO&#10;NnUIp5WAOyPDaOieGhgVpNEgsJGqLitQnyPNxQkEqqgdQxvEwZjRXEjPwdq/n6eH9/PUFc9elv3T&#10;NI0jKJPvi3zK03C1+EGB/8/TX85TSPI/lKfudoWXx1244ytpn7b9scvr27d8/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WAAAAZHJzL1BL&#10;AQIUABQAAAAIAIdO4kA507Hb2gAAAAsBAAAPAAAAAAAAAAEAIAAAADgAAABkcnMvZG93bnJldi54&#10;bWxQSwECFAAUAAAACACHTuJAdJH9gsYCAAATCAAADgAAAAAAAAABACAAAAA/AQAAZHJzL2Uyb0Rv&#10;Yy54bWxQSwUGAAAAAAYABgBZAQAAdwYAAAAA&#10;">
                <o:lock v:ext="edit" aspectratio="f"/>
                <v:shape id="文本框 22" o:spid="_x0000_s1026" o:spt="202" type="#_x0000_t202" style="position:absolute;left:1134;top:2225;height:1020;width:340;v-text-anchor:bottom;" fillcolor="#FFFFFF" filled="t" stroked="t" coordsize="21600,21600" o:gfxdata="UEsFBgAAAAAAAAAAAAAAAAAAAAAAAFBLAwQKAAAAAACHTuJAAAAAAAAAAAAAAAAABAAAAGRycy9Q&#10;SwMEFAAAAAgAh07iQGKmQOW+AAAA2wAAAA8AAABkcnMvZG93bnJldi54bWxFj0FrwkAUhO+F/ofl&#10;FXopZpNSjERXDwWxB2lJ9BBvj+wzG5p9G7JbNf/eLRR6HGbmG2a1udleXGj0nWMFWZKCIG6c7rhV&#10;cDxsZwsQPiBr7B2Tgok8bNaPDysstLtySZcqtCJC2BeowIQwFFL6xpBFn7iBOHpnN1oMUY6t1CNe&#10;I9z28jVN59Jix3HB4EDvhprv6scqeDFl/amD36HJvk623udTX+VKPT9l6RJEoFv4D/+1P7SCtzn8&#10;fok/QK7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KmQOW+AAAA2wAAAA8AAAAAAAAAAQAgAAAAOAAAAGRycy9kb3ducmV2&#10;LnhtbFBLAQIUABQAAAAIAIdO4kAzLwWeOwAAADkAAAAQAAAAAAAAAAEAIAAAACMBAABkcnMvc2hh&#10;cGV4bWwueG1sUEsFBgAAAAAGAAYAWwEAAM0DAAAAAA==&#10;">
                  <v:fill on="t" focussize="0,0"/>
                  <v:stroke weight="0.5pt" color="#FFFFFF" miterlimit="8" joinstyle="miter"/>
                  <v:imagedata o:title=""/>
                  <o:lock v:ext="edit" aspectratio="f"/>
                  <v:textbox inset="0mm,0mm,0mm,0mm" style="layout-flow:vertical;">
                    <w:txbxContent>
                      <w:p>
                        <w:pPr>
                          <w:jc w:val="right"/>
                          <w:rPr>
                            <w:rFonts w:ascii="宋体" w:hAnsi="宋体"/>
                            <w:sz w:val="18"/>
                            <w:szCs w:val="18"/>
                          </w:rPr>
                        </w:pPr>
                        <w:r>
                          <w:rPr>
                            <w:rFonts w:hint="eastAsia" w:ascii="宋体" w:hAnsi="宋体"/>
                            <w:sz w:val="18"/>
                            <w:szCs w:val="18"/>
                          </w:rPr>
                          <w:t>27</w:t>
                        </w:r>
                      </w:p>
                    </w:txbxContent>
                  </v:textbox>
                </v:shape>
                <v:shape id="文本框 8" o:spid="_x0000_s1026" o:spt="202" type="#_x0000_t202" style="position:absolute;left:15422;top:1133;height:2268;width:283;" fillcolor="#FFFFFF" filled="t" stroked="t" coordsize="21600,21600" o:gfxdata="UEsFBgAAAAAAAAAAAAAAAAAAAAAAAFBLAwQKAAAAAACHTuJAAAAAAAAAAAAAAAAABAAAAGRycy9Q&#10;SwMEFAAAAAgAh07iQPqCYgO8AAAA2wAAAA8AAABkcnMvZG93bnJldi54bWxFj82LwjAUxO/C/g/h&#10;LexNU2VRqUbxA2E9bvXi7dk829LmpSapH//9ZkHwOMz8Zpj58mEacSPnK8sKhoMEBHFudcWFguNh&#10;15+C8AFZY2OZFDzJw3Lx0Ztjqu2df+mWhULEEvYpKihDaFMpfV6SQT+wLXH0LtYZDFG6QmqH91hu&#10;GjlKkrE0WHFcKLGlTUl5nXVGwXfd7Tu8rkY7fai79fN0nmRbp9TX5zCZgQj0CO/wi/7RkZvA/5f4&#10;A+Ti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6gmIDvAAAANsAAAAPAAAAAAAAAAEAIAAAADgAAABkcnMvZG93bnJldi54&#10;bWxQSwECFAAUAAAACACHTuJAMy8FnjsAAAA5AAAAEAAAAAAAAAABACAAAAAhAQAAZHJzL3NoYXBl&#10;eG1sLnhtbFBLBQYAAAAABgAGAFsBAADLAwAAAAA=&#10;">
                  <v:fill on="t" focussize="0,0"/>
                  <v:stroke weight="0.5pt" color="#FFFFFF" miterlimit="8" joinstyle="miter"/>
                  <v:imagedata o:title=""/>
                  <o:lock v:ext="edit" aspectratio="f"/>
                  <v:textbox inset="0mm,0mm,0mm,0mm" style="layout-flow:vertical;">
                    <w:txbxContent>
                      <w:p>
                        <w:pPr>
                          <w:jc w:val="left"/>
                          <w:rPr>
                            <w:rFonts w:ascii="黑体" w:hAnsi="黑体" w:eastAsia="黑体"/>
                            <w:szCs w:val="21"/>
                          </w:rPr>
                        </w:pPr>
                        <w:r>
                          <w:rPr>
                            <w:rFonts w:ascii="黑体" w:hAnsi="黑体" w:eastAsia="黑体"/>
                            <w:szCs w:val="21"/>
                          </w:rPr>
                          <w:t>DB</w:t>
                        </w:r>
                        <w:r>
                          <w:rPr>
                            <w:rFonts w:hint="eastAsia" w:ascii="黑体" w:hAnsi="黑体" w:eastAsia="黑体"/>
                            <w:szCs w:val="21"/>
                          </w:rPr>
                          <w:t>4302/T XXXX—XXXX</w:t>
                        </w:r>
                      </w:p>
                    </w:txbxContent>
                  </v:textbox>
                </v:shape>
              </v:group>
            </w:pict>
          </mc:Fallback>
        </mc:AlternateContent>
      </w:r>
    </w:p>
    <w:p>
      <w:pPr>
        <w:pStyle w:val="125"/>
        <w:framePr/>
      </w:pPr>
      <w:r>
        <w:t>_________________________________</w:t>
      </w:r>
    </w:p>
    <w:sectPr>
      <w:headerReference r:id="rId13" w:type="first"/>
      <w:headerReference r:id="rId11" w:type="default"/>
      <w:footerReference r:id="rId14" w:type="default"/>
      <w:headerReference r:id="rId12" w:type="even"/>
      <w:footerReference r:id="rId15" w:type="even"/>
      <w:pgSz w:w="16838" w:h="11906" w:orient="landscape"/>
      <w:pgMar w:top="1417" w:right="567" w:bottom="1134" w:left="1134" w:header="567" w:footer="1134" w:gutter="0"/>
      <w:cols w:space="425" w:num="1"/>
      <w:formProt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Arial">
    <w:altName w:val="Nimbus Roman No9 L"/>
    <w:panose1 w:val="020B0604020202020204"/>
    <w:charset w:val="00"/>
    <w:family w:val="swiss"/>
    <w:pitch w:val="default"/>
    <w:sig w:usb0="00000000" w:usb1="00000000" w:usb2="00000009" w:usb3="00000000" w:csb0="000001FF" w:csb1="00000000"/>
  </w:font>
  <w:font w:name="MS Gothic">
    <w:altName w:val="方正书宋_GBK"/>
    <w:panose1 w:val="020B0609070205080204"/>
    <w:charset w:val="80"/>
    <w:family w:val="modern"/>
    <w:pitch w:val="default"/>
    <w:sig w:usb0="00000000" w:usb1="00000000" w:usb2="00000012" w:usb3="00000000" w:csb0="0002009F" w:csb1="00000000"/>
  </w:font>
  <w:font w:name="仿宋">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 PAGE  \* MERGEFORMAT </w:instrText>
    </w:r>
    <w:r>
      <w:fldChar w:fldCharType="separate"/>
    </w:r>
    <w: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r>
      <w:fldChar w:fldCharType="begin"/>
    </w:r>
    <w:r>
      <w:instrText xml:space="preserve"> PAGE  \* MERGEFORMAT </w:instrText>
    </w:r>
    <w:r>
      <w:fldChar w:fldCharType="separate"/>
    </w:r>
    <w:r>
      <w:t>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right="918"/>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ind w:left="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PowerPlusWaterMarkObject3959908" o:spid="_x0000_s2051" o:spt="136" type="#_x0000_t136" style="position:absolute;left:0pt;height:109.9pt;width:549.6pt;mso-position-horizontal:center;mso-position-horizontal-relative:margin;mso-position-vertical:center;mso-position-vertical-relative:margin;rotation:20643840f;z-index:-251660288;mso-width-relative:page;mso-height-relative:page;" fillcolor="#C0C0C0" filled="t" stroked="f" coordsize="21600,21600" o:allowincell="f">
          <v:path/>
          <v:fill on="t" opacity="32768f" focussize="0,0"/>
          <v:stroke on="f"/>
          <v:imagedata o:title=""/>
          <o:lock v:ext="edit"/>
          <v:textpath on="t" fitpath="t" trim="f" xscale="f" string="征求意见稿" style="font-family:宋体;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pPr>
    <w:r>
      <w:pict>
        <v:shape id="PowerPlusWaterMarkObject3959907" o:spid="_x0000_s2050" o:spt="136" type="#_x0000_t136" style="position:absolute;left:0pt;height:179.3pt;width:598.8pt;mso-position-horizontal:center;mso-position-horizontal-relative:margin;mso-position-vertical:center;mso-position-vertical-relative:margin;rotation:20643840f;z-index:-251661312;mso-width-relative:page;mso-height-relative:page;" fillcolor="#C0C0C0" filled="t" stroked="f" coordsize="21600,21600" o:allowincell="f">
          <v:path/>
          <v:fill on="t" opacity="32768f" focussize="0,0"/>
          <v:stroke on="f"/>
          <v:imagedata o:title=""/>
          <o:lock v:ext="edit"/>
          <v:textpath on="t" fitpath="t" trim="f" xscale="f" string="征求意见稿" style="font-family:宋体;font-size:1pt;v-text-align:center;"/>
        </v:shape>
      </w:pict>
    </w:r>
    <w:r>
      <w:t>DB43</w:t>
    </w:r>
    <w:r>
      <w:rPr>
        <w:rFonts w:hint="eastAsia"/>
      </w:rPr>
      <w:t>02</w:t>
    </w:r>
    <w:r>
      <w:t>/T XXXXX—XXXX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PowerPlusWaterMarkObject3959906" o:spid="_x0000_s2049" o:spt="136" type="#_x0000_t136" style="position:absolute;left:0pt;height:109.9pt;width:549.6pt;mso-position-horizontal:center;mso-position-horizontal-relative:margin;mso-position-vertical:center;mso-position-vertical-relative:margin;rotation:20643840f;z-index:-251662336;mso-width-relative:page;mso-height-relative:page;" fillcolor="#C0C0C0" filled="t" stroked="f" coordsize="21600,21600" o:allowincell="f">
          <v:path/>
          <v:fill on="t" opacity="32768f" focussize="0,0"/>
          <v:stroke on="f"/>
          <v:imagedata o:title=""/>
          <o:lock v:ext="edit"/>
          <v:textpath on="t" fitpath="t" trim="f" xscale="f" string="征求意见稿"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pict>
        <v:shape id="PowerPlusWaterMarkObject3959911" o:spid="_x0000_s2054" o:spt="136" type="#_x0000_t136" style="position:absolute;left:0pt;height:109.9pt;width:549.6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征求意见稿" style="font-family:宋体;font-size:1pt;v-text-align:center;"/>
        </v:shape>
      </w:pict>
    </w:r>
    <w:r>
      <w:t>DB</w:t>
    </w:r>
    <w:r>
      <w:rPr>
        <w:rFonts w:hint="eastAsia"/>
      </w:rPr>
      <w:t>4302</w:t>
    </w:r>
    <w:r>
      <w:t>/</w:t>
    </w:r>
    <w:r>
      <w:rPr>
        <w:rFonts w:hint="eastAsia"/>
      </w:rPr>
      <w:t>T</w:t>
    </w:r>
    <w:r>
      <w:t xml:space="preserve"> XXXXX—XXXX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after="220"/>
    </w:pPr>
    <w:r>
      <w:rPr>
        <w:rFonts w:ascii="黑体" w:hAnsi="黑体" w:eastAsia="黑体"/>
        <w:sz w:val="21"/>
        <w:szCs w:val="21"/>
      </w:rPr>
      <w:t>DB</w:t>
    </w:r>
    <w:r>
      <w:rPr>
        <w:rFonts w:hint="eastAsia" w:ascii="黑体" w:hAnsi="黑体" w:eastAsia="黑体"/>
        <w:sz w:val="21"/>
        <w:szCs w:val="21"/>
      </w:rPr>
      <w:t>4302</w:t>
    </w:r>
    <w:r>
      <w:rPr>
        <w:rFonts w:ascii="黑体" w:hAnsi="黑体" w:eastAsia="黑体"/>
        <w:sz w:val="21"/>
        <w:szCs w:val="21"/>
      </w:rPr>
      <w:t>/</w:t>
    </w:r>
    <w:r>
      <w:rPr>
        <w:rFonts w:hint="eastAsia" w:ascii="黑体" w:hAnsi="黑体" w:eastAsia="黑体"/>
        <w:sz w:val="21"/>
        <w:szCs w:val="21"/>
      </w:rPr>
      <w:t>T</w:t>
    </w:r>
    <w:r>
      <w:rPr>
        <w:rFonts w:ascii="黑体" w:hAnsi="黑体" w:eastAsia="黑体"/>
        <w:sz w:val="21"/>
        <w:szCs w:val="21"/>
      </w:rPr>
      <w:t xml:space="preserve"> XXXXX—XX</w:t>
    </w:r>
    <w:r>
      <w:rPr>
        <w:rFonts w:ascii="黑体" w:hAnsi="黑体" w:eastAsia="黑体"/>
        <w:sz w:val="21"/>
        <w:szCs w:val="21"/>
      </w:rPr>
      <w:pict>
        <v:shape id="PowerPlusWaterMarkObject3959910" o:spid="_x0000_s2053" o:spt="136" type="#_x0000_t136" style="position:absolute;left:0pt;height:109.9pt;width:549.6pt;mso-position-horizontal:center;mso-position-horizontal-relative:margin;mso-position-vertical:center;mso-position-vertical-relative:margin;rotation:20643840f;z-index:-251658240;mso-width-relative:page;mso-height-relative:page;" fillcolor="#C0C0C0" filled="t" stroked="f" coordsize="21600,21600" o:allowincell="f">
          <v:path/>
          <v:fill on="t" opacity="32768f" focussize="0,0"/>
          <v:stroke on="f"/>
          <v:imagedata o:title=""/>
          <o:lock v:ext="edit"/>
          <v:textpath on="t" fitpath="t" trim="f" xscale="f" string="征求意见稿" style="font-family:宋体;font-size:1pt;v-text-align:center;"/>
        </v:shape>
      </w:pict>
    </w:r>
    <w:r>
      <w:rPr>
        <w:rFonts w:hint="eastAsia" w:ascii="黑体" w:hAnsi="黑体" w:eastAsia="黑体"/>
        <w:sz w:val="21"/>
        <w:szCs w:val="21"/>
      </w:rPr>
      <w:t>XX</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PowerPlusWaterMarkObject3959909" o:spid="_x0000_s2052" o:spt="136" type="#_x0000_t136" style="position:absolute;left:0pt;height:109.9pt;width:549.6pt;mso-position-horizontal:center;mso-position-horizontal-relative:margin;mso-position-vertical:center;mso-position-vertical-relative:margin;rotation:20643840f;z-index:-251659264;mso-width-relative:page;mso-height-relative:page;" fillcolor="#C0C0C0" filled="t" stroked="f" coordsize="21600,21600" o:allowincell="f">
          <v:path/>
          <v:fill on="t" opacity="32768f" focussize="0,0"/>
          <v:stroke on="f"/>
          <v:imagedata o:title=""/>
          <o:lock v:ext="edit"/>
          <v:textpath on="t" fitpath="t" trim="f" xscale="f" string="征求意见稿" style="font-family:宋体;font-size:1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right="840"/>
      <w:jc w:val="both"/>
    </w:pPr>
    <w:r>
      <w:pict>
        <v:shape id="PowerPlusWaterMarkObject3959914" o:spid="_x0000_s2055" o:spt="136" type="#_x0000_t136" style="position:absolute;left:0pt;height:109.9pt;width:549.6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征求意见稿" style="font-family:宋体;font-size:1pt;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after="220"/>
    </w:pPr>
    <w:r>
      <w:rPr>
        <w:rFonts w:ascii="黑体" w:hAnsi="黑体" w:eastAsia="黑体"/>
        <w:sz w:val="21"/>
        <w:szCs w:val="21"/>
      </w:rPr>
      <w:pict>
        <v:shape id="PowerPlusWaterMarkObject3959913" o:spid="_x0000_s2056" o:spt="136" type="#_x0000_t136" style="position:absolute;left:0pt;height:109.9pt;width:549.6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征求意见稿" style="font-family:宋体;font-size:1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F10966"/>
    <w:multiLevelType w:val="multilevel"/>
    <w:tmpl w:val="02F10966"/>
    <w:lvl w:ilvl="0" w:tentative="0">
      <w:start w:val="1"/>
      <w:numFmt w:val="lowerLetter"/>
      <w:pStyle w:val="54"/>
      <w:lvlText w:val="%1)"/>
      <w:lvlJc w:val="left"/>
      <w:pPr>
        <w:tabs>
          <w:tab w:val="left" w:pos="840"/>
        </w:tabs>
        <w:ind w:left="839" w:hanging="419"/>
      </w:pPr>
      <w:rPr>
        <w:rFonts w:hint="eastAsia" w:ascii="宋体" w:eastAsia="宋体"/>
        <w:b w:val="0"/>
        <w:i w:val="0"/>
        <w:sz w:val="21"/>
        <w:szCs w:val="21"/>
      </w:rPr>
    </w:lvl>
    <w:lvl w:ilvl="1" w:tentative="0">
      <w:start w:val="1"/>
      <w:numFmt w:val="decimal"/>
      <w:pStyle w:val="49"/>
      <w:lvlText w:val="%2)"/>
      <w:lvlJc w:val="left"/>
      <w:pPr>
        <w:tabs>
          <w:tab w:val="left" w:pos="1260"/>
        </w:tabs>
        <w:ind w:left="1259" w:hanging="419"/>
      </w:pPr>
      <w:rPr>
        <w:rFonts w:hint="eastAsia"/>
      </w:rPr>
    </w:lvl>
    <w:lvl w:ilvl="2" w:tentative="0">
      <w:start w:val="1"/>
      <w:numFmt w:val="decimal"/>
      <w:pStyle w:val="56"/>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
    <w:nsid w:val="0781221C"/>
    <w:multiLevelType w:val="multilevel"/>
    <w:tmpl w:val="0781221C"/>
    <w:lvl w:ilvl="0" w:tentative="0">
      <w:start w:val="1"/>
      <w:numFmt w:val="lowerLetter"/>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
    <w:nsid w:val="0BB846FD"/>
    <w:multiLevelType w:val="multilevel"/>
    <w:tmpl w:val="0BB846FD"/>
    <w:lvl w:ilvl="0" w:tentative="0">
      <w:start w:val="1"/>
      <w:numFmt w:val="lowerLetter"/>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3">
    <w:nsid w:val="1DBF583A"/>
    <w:multiLevelType w:val="multilevel"/>
    <w:tmpl w:val="1DBF583A"/>
    <w:lvl w:ilvl="0" w:tentative="0">
      <w:start w:val="1"/>
      <w:numFmt w:val="decimal"/>
      <w:pStyle w:val="60"/>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4">
    <w:nsid w:val="1FC91163"/>
    <w:multiLevelType w:val="multilevel"/>
    <w:tmpl w:val="1FC91163"/>
    <w:lvl w:ilvl="0" w:tentative="0">
      <w:start w:val="1"/>
      <w:numFmt w:val="decimal"/>
      <w:pStyle w:val="40"/>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37"/>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41"/>
      <w:suff w:val="nothing"/>
      <w:lvlText w:val="%1.%2.%3　"/>
      <w:lvlJc w:val="left"/>
      <w:pPr>
        <w:ind w:left="0" w:firstLine="0"/>
      </w:pPr>
      <w:rPr>
        <w:rFonts w:hint="eastAsia" w:ascii="黑体" w:hAnsi="Times New Roman" w:eastAsia="黑体"/>
        <w:b w:val="0"/>
        <w:i w:val="0"/>
        <w:sz w:val="21"/>
      </w:rPr>
    </w:lvl>
    <w:lvl w:ilvl="3" w:tentative="0">
      <w:start w:val="1"/>
      <w:numFmt w:val="decimal"/>
      <w:pStyle w:val="46"/>
      <w:suff w:val="nothing"/>
      <w:lvlText w:val="%1.%2.%3.%4　"/>
      <w:lvlJc w:val="left"/>
      <w:pPr>
        <w:ind w:left="0" w:firstLine="0"/>
      </w:pPr>
      <w:rPr>
        <w:rFonts w:hint="eastAsia" w:ascii="黑体" w:hAnsi="Times New Roman" w:eastAsia="黑体"/>
        <w:b w:val="0"/>
        <w:i w:val="0"/>
        <w:sz w:val="21"/>
      </w:rPr>
    </w:lvl>
    <w:lvl w:ilvl="4" w:tentative="0">
      <w:start w:val="1"/>
      <w:numFmt w:val="decimal"/>
      <w:pStyle w:val="50"/>
      <w:suff w:val="nothing"/>
      <w:lvlText w:val="%1.%2.%3.%4.%5　"/>
      <w:lvlJc w:val="left"/>
      <w:pPr>
        <w:ind w:left="0" w:firstLine="0"/>
      </w:pPr>
      <w:rPr>
        <w:rFonts w:hint="eastAsia" w:ascii="黑体" w:hAnsi="Times New Roman" w:eastAsia="黑体"/>
        <w:b w:val="0"/>
        <w:i w:val="0"/>
        <w:sz w:val="21"/>
      </w:rPr>
    </w:lvl>
    <w:lvl w:ilvl="5" w:tentative="0">
      <w:start w:val="1"/>
      <w:numFmt w:val="decimal"/>
      <w:pStyle w:val="51"/>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493"/>
        </w:tabs>
        <w:ind w:left="0" w:firstLine="0"/>
      </w:pPr>
      <w:rPr>
        <w:rFonts w:hint="eastAsia"/>
      </w:rPr>
    </w:lvl>
    <w:lvl w:ilvl="8" w:tentative="0">
      <w:start w:val="1"/>
      <w:numFmt w:val="decimal"/>
      <w:lvlText w:val="%1.%2.%3.%4.%5.%6.%7.%8.%9"/>
      <w:lvlJc w:val="left"/>
      <w:pPr>
        <w:tabs>
          <w:tab w:val="left" w:pos="4919"/>
        </w:tabs>
        <w:ind w:left="0" w:firstLine="0"/>
      </w:pPr>
      <w:rPr>
        <w:rFonts w:hint="eastAsia"/>
      </w:rPr>
    </w:lvl>
  </w:abstractNum>
  <w:abstractNum w:abstractNumId="5">
    <w:nsid w:val="226F3FE8"/>
    <w:multiLevelType w:val="multilevel"/>
    <w:tmpl w:val="226F3FE8"/>
    <w:lvl w:ilvl="0" w:tentative="0">
      <w:start w:val="1"/>
      <w:numFmt w:val="lowerLetter"/>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6">
    <w:nsid w:val="2A8F7113"/>
    <w:multiLevelType w:val="multilevel"/>
    <w:tmpl w:val="2A8F7113"/>
    <w:lvl w:ilvl="0" w:tentative="0">
      <w:start w:val="1"/>
      <w:numFmt w:val="upperLetter"/>
      <w:pStyle w:val="93"/>
      <w:suff w:val="space"/>
      <w:lvlText w:val="%1"/>
      <w:lvlJc w:val="left"/>
      <w:pPr>
        <w:ind w:left="623" w:hanging="425"/>
      </w:pPr>
      <w:rPr>
        <w:rFonts w:hint="eastAsia"/>
      </w:rPr>
    </w:lvl>
    <w:lvl w:ilvl="1" w:tentative="0">
      <w:start w:val="1"/>
      <w:numFmt w:val="decimal"/>
      <w:pStyle w:val="94"/>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7">
    <w:nsid w:val="2C5917C3"/>
    <w:multiLevelType w:val="multilevel"/>
    <w:tmpl w:val="2C5917C3"/>
    <w:lvl w:ilvl="0" w:tentative="0">
      <w:start w:val="1"/>
      <w:numFmt w:val="none"/>
      <w:pStyle w:val="43"/>
      <w:suff w:val="nothing"/>
      <w:lvlText w:val="%1——"/>
      <w:lvlJc w:val="left"/>
      <w:pPr>
        <w:ind w:left="833" w:hanging="408"/>
      </w:pPr>
      <w:rPr>
        <w:rFonts w:hint="eastAsia"/>
      </w:rPr>
    </w:lvl>
    <w:lvl w:ilvl="1" w:tentative="0">
      <w:start w:val="1"/>
      <w:numFmt w:val="bullet"/>
      <w:pStyle w:val="44"/>
      <w:lvlText w:val=""/>
      <w:lvlJc w:val="left"/>
      <w:pPr>
        <w:tabs>
          <w:tab w:val="left" w:pos="760"/>
        </w:tabs>
        <w:ind w:left="1264" w:hanging="413"/>
      </w:pPr>
      <w:rPr>
        <w:rFonts w:hint="default" w:ascii="Symbol" w:hAnsi="Symbol"/>
        <w:color w:val="auto"/>
      </w:rPr>
    </w:lvl>
    <w:lvl w:ilvl="2" w:tentative="0">
      <w:start w:val="1"/>
      <w:numFmt w:val="bullet"/>
      <w:pStyle w:val="55"/>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8">
    <w:nsid w:val="3D733618"/>
    <w:multiLevelType w:val="multilevel"/>
    <w:tmpl w:val="3D733618"/>
    <w:lvl w:ilvl="0" w:tentative="0">
      <w:start w:val="1"/>
      <w:numFmt w:val="decimal"/>
      <w:pStyle w:val="22"/>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9">
    <w:nsid w:val="44C50F90"/>
    <w:multiLevelType w:val="multilevel"/>
    <w:tmpl w:val="44C50F90"/>
    <w:lvl w:ilvl="0" w:tentative="0">
      <w:start w:val="1"/>
      <w:numFmt w:val="lowerLetter"/>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0">
    <w:nsid w:val="49FA4678"/>
    <w:multiLevelType w:val="multilevel"/>
    <w:tmpl w:val="49FA4678"/>
    <w:lvl w:ilvl="0" w:tentative="0">
      <w:start w:val="3"/>
      <w:numFmt w:val="decimal"/>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
    <w:nsid w:val="60B55DC2"/>
    <w:multiLevelType w:val="multilevel"/>
    <w:tmpl w:val="60B55DC2"/>
    <w:lvl w:ilvl="0" w:tentative="0">
      <w:start w:val="1"/>
      <w:numFmt w:val="upperLetter"/>
      <w:pStyle w:val="81"/>
      <w:lvlText w:val="%1"/>
      <w:lvlJc w:val="left"/>
      <w:pPr>
        <w:tabs>
          <w:tab w:val="left" w:pos="0"/>
        </w:tabs>
        <w:ind w:left="0" w:hanging="425"/>
      </w:pPr>
      <w:rPr>
        <w:rFonts w:hint="eastAsia"/>
      </w:rPr>
    </w:lvl>
    <w:lvl w:ilvl="1" w:tentative="0">
      <w:start w:val="1"/>
      <w:numFmt w:val="decimal"/>
      <w:pStyle w:val="82"/>
      <w:suff w:val="nothing"/>
      <w:lvlText w:val="表%1.%2　"/>
      <w:lvlJc w:val="left"/>
      <w:pPr>
        <w:ind w:left="567" w:hanging="567"/>
      </w:pPr>
      <w:rPr>
        <w:rFonts w:hint="eastAsia" w:ascii="黑体" w:hAnsi="黑体" w:eastAsia="黑体"/>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2">
    <w:nsid w:val="657D3FBC"/>
    <w:multiLevelType w:val="multilevel"/>
    <w:tmpl w:val="657D3FBC"/>
    <w:lvl w:ilvl="0" w:tentative="0">
      <w:start w:val="1"/>
      <w:numFmt w:val="upperLetter"/>
      <w:pStyle w:val="79"/>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97"/>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98"/>
      <w:suff w:val="nothing"/>
      <w:lvlText w:val="%1.%2.%3　"/>
      <w:lvlJc w:val="left"/>
      <w:pPr>
        <w:ind w:left="0" w:firstLine="0"/>
      </w:pPr>
      <w:rPr>
        <w:rFonts w:hint="eastAsia" w:ascii="黑体" w:hAnsi="Times New Roman" w:eastAsia="黑体"/>
        <w:b w:val="0"/>
        <w:i w:val="0"/>
        <w:sz w:val="21"/>
      </w:rPr>
    </w:lvl>
    <w:lvl w:ilvl="3" w:tentative="0">
      <w:start w:val="1"/>
      <w:numFmt w:val="decimal"/>
      <w:pStyle w:val="83"/>
      <w:suff w:val="nothing"/>
      <w:lvlText w:val="%1.%2.%3.%4　"/>
      <w:lvlJc w:val="left"/>
      <w:pPr>
        <w:ind w:left="0" w:firstLine="0"/>
      </w:pPr>
      <w:rPr>
        <w:rFonts w:hint="eastAsia" w:ascii="黑体" w:hAnsi="Times New Roman" w:eastAsia="黑体"/>
        <w:b w:val="0"/>
        <w:i w:val="0"/>
        <w:sz w:val="21"/>
      </w:rPr>
    </w:lvl>
    <w:lvl w:ilvl="4" w:tentative="0">
      <w:start w:val="1"/>
      <w:numFmt w:val="decimal"/>
      <w:pStyle w:val="88"/>
      <w:suff w:val="nothing"/>
      <w:lvlText w:val="%1.%2.%3.%4.%5　"/>
      <w:lvlJc w:val="left"/>
      <w:pPr>
        <w:ind w:left="0" w:firstLine="0"/>
      </w:pPr>
      <w:rPr>
        <w:rFonts w:hint="eastAsia" w:ascii="黑体" w:hAnsi="Times New Roman" w:eastAsia="黑体"/>
        <w:b w:val="0"/>
        <w:i w:val="0"/>
        <w:sz w:val="21"/>
      </w:rPr>
    </w:lvl>
    <w:lvl w:ilvl="5" w:tentative="0">
      <w:start w:val="1"/>
      <w:numFmt w:val="decimal"/>
      <w:pStyle w:val="91"/>
      <w:suff w:val="nothing"/>
      <w:lvlText w:val="%1.%2.%3.%4.%5.%6　"/>
      <w:lvlJc w:val="left"/>
      <w:pPr>
        <w:ind w:left="0" w:firstLine="0"/>
      </w:pPr>
      <w:rPr>
        <w:rFonts w:hint="eastAsia" w:ascii="黑体" w:hAnsi="Times New Roman" w:eastAsia="黑体"/>
        <w:b w:val="0"/>
        <w:i w:val="0"/>
        <w:sz w:val="21"/>
      </w:rPr>
    </w:lvl>
    <w:lvl w:ilvl="6" w:tentative="0">
      <w:start w:val="1"/>
      <w:numFmt w:val="decimal"/>
      <w:pStyle w:val="95"/>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3">
    <w:nsid w:val="6D6C07CD"/>
    <w:multiLevelType w:val="multilevel"/>
    <w:tmpl w:val="6D6C07CD"/>
    <w:lvl w:ilvl="0" w:tentative="0">
      <w:start w:val="1"/>
      <w:numFmt w:val="lowerLetter"/>
      <w:pStyle w:val="100"/>
      <w:lvlText w:val="%1)"/>
      <w:lvlJc w:val="left"/>
      <w:pPr>
        <w:tabs>
          <w:tab w:val="left" w:pos="839"/>
        </w:tabs>
        <w:ind w:left="839" w:hanging="419"/>
      </w:pPr>
      <w:rPr>
        <w:rFonts w:hint="eastAsia" w:ascii="宋体" w:eastAsia="宋体"/>
        <w:b w:val="0"/>
        <w:i w:val="0"/>
        <w:sz w:val="21"/>
      </w:rPr>
    </w:lvl>
    <w:lvl w:ilvl="1" w:tentative="0">
      <w:start w:val="1"/>
      <w:numFmt w:val="decimal"/>
      <w:pStyle w:val="90"/>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num w:numId="1">
    <w:abstractNumId w:val="8"/>
  </w:num>
  <w:num w:numId="2">
    <w:abstractNumId w:val="4"/>
  </w:num>
  <w:num w:numId="3">
    <w:abstractNumId w:val="7"/>
  </w:num>
  <w:num w:numId="4">
    <w:abstractNumId w:val="0"/>
  </w:num>
  <w:num w:numId="5">
    <w:abstractNumId w:val="3"/>
  </w:num>
  <w:num w:numId="6">
    <w:abstractNumId w:val="12"/>
  </w:num>
  <w:num w:numId="7">
    <w:abstractNumId w:val="11"/>
  </w:num>
  <w:num w:numId="8">
    <w:abstractNumId w:val="13"/>
  </w:num>
  <w:num w:numId="9">
    <w:abstractNumId w:val="6"/>
  </w:num>
  <w:num w:numId="10">
    <w:abstractNumId w:val="10"/>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removePersonalInformation/>
  <w:mirrorMargins w:val="true"/>
  <w:bordersDoNotSurroundHeader w:val="true"/>
  <w:bordersDoNotSurroundFooter w:val="tru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forms" w:enforcement="1" w:cryptProviderType="rsaFull" w:cryptAlgorithmClass="hash" w:cryptAlgorithmType="typeAny" w:cryptAlgorithmSid="4" w:cryptSpinCount="100000" w:hash="CU8c3iRvJDyyTi/CPRdonE+KiCo=" w:salt="tZ5bAMVlzuyWK7+Svns/cg=="/>
  <w:defaultTabStop w:val="420"/>
  <w:evenAndOddHeaders w:val="true"/>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11D"/>
    <w:rsid w:val="00000244"/>
    <w:rsid w:val="0000185F"/>
    <w:rsid w:val="000046CD"/>
    <w:rsid w:val="0000586F"/>
    <w:rsid w:val="00005FBC"/>
    <w:rsid w:val="00013D86"/>
    <w:rsid w:val="00013E02"/>
    <w:rsid w:val="0001499F"/>
    <w:rsid w:val="0002143C"/>
    <w:rsid w:val="00023930"/>
    <w:rsid w:val="00023E91"/>
    <w:rsid w:val="0002590A"/>
    <w:rsid w:val="00025A65"/>
    <w:rsid w:val="00026C31"/>
    <w:rsid w:val="00027280"/>
    <w:rsid w:val="000320A7"/>
    <w:rsid w:val="00034210"/>
    <w:rsid w:val="00035925"/>
    <w:rsid w:val="00041014"/>
    <w:rsid w:val="000434F4"/>
    <w:rsid w:val="000522DA"/>
    <w:rsid w:val="00054775"/>
    <w:rsid w:val="000560A6"/>
    <w:rsid w:val="00060231"/>
    <w:rsid w:val="00061822"/>
    <w:rsid w:val="000651A8"/>
    <w:rsid w:val="00067A35"/>
    <w:rsid w:val="00067CDF"/>
    <w:rsid w:val="00072455"/>
    <w:rsid w:val="000738C5"/>
    <w:rsid w:val="00074B5E"/>
    <w:rsid w:val="00074FBE"/>
    <w:rsid w:val="000750B9"/>
    <w:rsid w:val="0007564D"/>
    <w:rsid w:val="00075AD2"/>
    <w:rsid w:val="00082561"/>
    <w:rsid w:val="00083A09"/>
    <w:rsid w:val="00087D0B"/>
    <w:rsid w:val="00087EB8"/>
    <w:rsid w:val="0009005E"/>
    <w:rsid w:val="00092857"/>
    <w:rsid w:val="00096897"/>
    <w:rsid w:val="000A0769"/>
    <w:rsid w:val="000A20A9"/>
    <w:rsid w:val="000A48B1"/>
    <w:rsid w:val="000A7B36"/>
    <w:rsid w:val="000B083F"/>
    <w:rsid w:val="000B3143"/>
    <w:rsid w:val="000B544E"/>
    <w:rsid w:val="000C0836"/>
    <w:rsid w:val="000C63F7"/>
    <w:rsid w:val="000C6B05"/>
    <w:rsid w:val="000C6DD6"/>
    <w:rsid w:val="000C73D4"/>
    <w:rsid w:val="000D3D4C"/>
    <w:rsid w:val="000D4189"/>
    <w:rsid w:val="000D4316"/>
    <w:rsid w:val="000D47A6"/>
    <w:rsid w:val="000D4F51"/>
    <w:rsid w:val="000D718B"/>
    <w:rsid w:val="000D7661"/>
    <w:rsid w:val="000E07DD"/>
    <w:rsid w:val="000E0C46"/>
    <w:rsid w:val="000E2826"/>
    <w:rsid w:val="000E32BB"/>
    <w:rsid w:val="000E685C"/>
    <w:rsid w:val="000F030C"/>
    <w:rsid w:val="000F058A"/>
    <w:rsid w:val="000F129C"/>
    <w:rsid w:val="000F2740"/>
    <w:rsid w:val="000F48BF"/>
    <w:rsid w:val="000F733C"/>
    <w:rsid w:val="00100532"/>
    <w:rsid w:val="001056DE"/>
    <w:rsid w:val="001124C0"/>
    <w:rsid w:val="001146B2"/>
    <w:rsid w:val="0012199D"/>
    <w:rsid w:val="00125038"/>
    <w:rsid w:val="0012546A"/>
    <w:rsid w:val="00131735"/>
    <w:rsid w:val="0013175F"/>
    <w:rsid w:val="0013222E"/>
    <w:rsid w:val="00132E45"/>
    <w:rsid w:val="00133AAC"/>
    <w:rsid w:val="001350A8"/>
    <w:rsid w:val="0013686B"/>
    <w:rsid w:val="00137BB5"/>
    <w:rsid w:val="00141BE7"/>
    <w:rsid w:val="00146A02"/>
    <w:rsid w:val="00147E74"/>
    <w:rsid w:val="0015127F"/>
    <w:rsid w:val="001512B4"/>
    <w:rsid w:val="00153919"/>
    <w:rsid w:val="00155D3F"/>
    <w:rsid w:val="0015699B"/>
    <w:rsid w:val="0016083B"/>
    <w:rsid w:val="00161BF2"/>
    <w:rsid w:val="001620A5"/>
    <w:rsid w:val="00163A8F"/>
    <w:rsid w:val="00164E53"/>
    <w:rsid w:val="0016699D"/>
    <w:rsid w:val="00171BA4"/>
    <w:rsid w:val="001749FC"/>
    <w:rsid w:val="00175028"/>
    <w:rsid w:val="00175159"/>
    <w:rsid w:val="00176208"/>
    <w:rsid w:val="00177A8B"/>
    <w:rsid w:val="00180813"/>
    <w:rsid w:val="0018211B"/>
    <w:rsid w:val="0018246D"/>
    <w:rsid w:val="001840D3"/>
    <w:rsid w:val="00185E51"/>
    <w:rsid w:val="001900F8"/>
    <w:rsid w:val="00191258"/>
    <w:rsid w:val="00192680"/>
    <w:rsid w:val="00192B7E"/>
    <w:rsid w:val="00193037"/>
    <w:rsid w:val="0019321C"/>
    <w:rsid w:val="00193A2C"/>
    <w:rsid w:val="00194C70"/>
    <w:rsid w:val="001954EB"/>
    <w:rsid w:val="00195FC5"/>
    <w:rsid w:val="001A0342"/>
    <w:rsid w:val="001A270B"/>
    <w:rsid w:val="001A288E"/>
    <w:rsid w:val="001B03FA"/>
    <w:rsid w:val="001B24E0"/>
    <w:rsid w:val="001B6DC2"/>
    <w:rsid w:val="001B7944"/>
    <w:rsid w:val="001C149C"/>
    <w:rsid w:val="001C21AC"/>
    <w:rsid w:val="001C47BA"/>
    <w:rsid w:val="001C59EA"/>
    <w:rsid w:val="001C6143"/>
    <w:rsid w:val="001C69FF"/>
    <w:rsid w:val="001D0E76"/>
    <w:rsid w:val="001D3360"/>
    <w:rsid w:val="001D406C"/>
    <w:rsid w:val="001D41EE"/>
    <w:rsid w:val="001E0380"/>
    <w:rsid w:val="001E13B1"/>
    <w:rsid w:val="001E491B"/>
    <w:rsid w:val="001E5693"/>
    <w:rsid w:val="001E6B82"/>
    <w:rsid w:val="001E6F92"/>
    <w:rsid w:val="001F29E4"/>
    <w:rsid w:val="001F3A19"/>
    <w:rsid w:val="001F489D"/>
    <w:rsid w:val="001F6CCB"/>
    <w:rsid w:val="00211038"/>
    <w:rsid w:val="0021563D"/>
    <w:rsid w:val="002178EE"/>
    <w:rsid w:val="002179F9"/>
    <w:rsid w:val="002309FC"/>
    <w:rsid w:val="00234467"/>
    <w:rsid w:val="00234744"/>
    <w:rsid w:val="002371A8"/>
    <w:rsid w:val="00237D8D"/>
    <w:rsid w:val="00237DB3"/>
    <w:rsid w:val="00241DA2"/>
    <w:rsid w:val="00246027"/>
    <w:rsid w:val="00246050"/>
    <w:rsid w:val="002461CE"/>
    <w:rsid w:val="00247FEE"/>
    <w:rsid w:val="00250E7D"/>
    <w:rsid w:val="00255C40"/>
    <w:rsid w:val="002565D5"/>
    <w:rsid w:val="0026030E"/>
    <w:rsid w:val="002622C0"/>
    <w:rsid w:val="0026740E"/>
    <w:rsid w:val="0027276A"/>
    <w:rsid w:val="00272F43"/>
    <w:rsid w:val="00273661"/>
    <w:rsid w:val="002741B1"/>
    <w:rsid w:val="002752F6"/>
    <w:rsid w:val="002778AE"/>
    <w:rsid w:val="0028269A"/>
    <w:rsid w:val="00283590"/>
    <w:rsid w:val="00286973"/>
    <w:rsid w:val="00287091"/>
    <w:rsid w:val="0029078D"/>
    <w:rsid w:val="00294E70"/>
    <w:rsid w:val="002960B2"/>
    <w:rsid w:val="00296195"/>
    <w:rsid w:val="00296A0B"/>
    <w:rsid w:val="00297B75"/>
    <w:rsid w:val="002A1924"/>
    <w:rsid w:val="002A46BE"/>
    <w:rsid w:val="002A72AE"/>
    <w:rsid w:val="002A7420"/>
    <w:rsid w:val="002B0F12"/>
    <w:rsid w:val="002B1308"/>
    <w:rsid w:val="002B20AE"/>
    <w:rsid w:val="002B2E4D"/>
    <w:rsid w:val="002B41EC"/>
    <w:rsid w:val="002B4554"/>
    <w:rsid w:val="002B5EE1"/>
    <w:rsid w:val="002C65C3"/>
    <w:rsid w:val="002C712C"/>
    <w:rsid w:val="002C72D8"/>
    <w:rsid w:val="002D11FA"/>
    <w:rsid w:val="002D2C09"/>
    <w:rsid w:val="002D4512"/>
    <w:rsid w:val="002D5160"/>
    <w:rsid w:val="002E0006"/>
    <w:rsid w:val="002E0DDF"/>
    <w:rsid w:val="002E2906"/>
    <w:rsid w:val="002E5635"/>
    <w:rsid w:val="002E64C3"/>
    <w:rsid w:val="002E6A2C"/>
    <w:rsid w:val="002E6C70"/>
    <w:rsid w:val="002F1A72"/>
    <w:rsid w:val="002F1D8C"/>
    <w:rsid w:val="002F21DA"/>
    <w:rsid w:val="002F6F4C"/>
    <w:rsid w:val="002F7406"/>
    <w:rsid w:val="00301EDD"/>
    <w:rsid w:val="00301F39"/>
    <w:rsid w:val="00302511"/>
    <w:rsid w:val="00305319"/>
    <w:rsid w:val="00310333"/>
    <w:rsid w:val="00310BDD"/>
    <w:rsid w:val="00311D73"/>
    <w:rsid w:val="00312226"/>
    <w:rsid w:val="0031404F"/>
    <w:rsid w:val="00322681"/>
    <w:rsid w:val="00325926"/>
    <w:rsid w:val="00327A8A"/>
    <w:rsid w:val="00332E20"/>
    <w:rsid w:val="00333C1B"/>
    <w:rsid w:val="003341D6"/>
    <w:rsid w:val="00335851"/>
    <w:rsid w:val="00336610"/>
    <w:rsid w:val="00337A02"/>
    <w:rsid w:val="0034374D"/>
    <w:rsid w:val="00343F73"/>
    <w:rsid w:val="0034445F"/>
    <w:rsid w:val="00345060"/>
    <w:rsid w:val="00345D12"/>
    <w:rsid w:val="003471FA"/>
    <w:rsid w:val="0035323B"/>
    <w:rsid w:val="00353BD5"/>
    <w:rsid w:val="003541A2"/>
    <w:rsid w:val="003609D2"/>
    <w:rsid w:val="00361CBA"/>
    <w:rsid w:val="00363B3F"/>
    <w:rsid w:val="00363CBC"/>
    <w:rsid w:val="00363F22"/>
    <w:rsid w:val="00366F6E"/>
    <w:rsid w:val="003704D4"/>
    <w:rsid w:val="003714FD"/>
    <w:rsid w:val="003717AA"/>
    <w:rsid w:val="003743C6"/>
    <w:rsid w:val="00375564"/>
    <w:rsid w:val="00376A38"/>
    <w:rsid w:val="00380DED"/>
    <w:rsid w:val="00381212"/>
    <w:rsid w:val="00381E6C"/>
    <w:rsid w:val="00382F4F"/>
    <w:rsid w:val="00383191"/>
    <w:rsid w:val="003844FF"/>
    <w:rsid w:val="0038548E"/>
    <w:rsid w:val="00386DED"/>
    <w:rsid w:val="00391208"/>
    <w:rsid w:val="003912E7"/>
    <w:rsid w:val="003915B4"/>
    <w:rsid w:val="00393947"/>
    <w:rsid w:val="00394E28"/>
    <w:rsid w:val="00396247"/>
    <w:rsid w:val="003A2275"/>
    <w:rsid w:val="003A2705"/>
    <w:rsid w:val="003A6A4F"/>
    <w:rsid w:val="003A7088"/>
    <w:rsid w:val="003B00DF"/>
    <w:rsid w:val="003B1275"/>
    <w:rsid w:val="003B1778"/>
    <w:rsid w:val="003B5EBB"/>
    <w:rsid w:val="003C0341"/>
    <w:rsid w:val="003C11CB"/>
    <w:rsid w:val="003C311D"/>
    <w:rsid w:val="003C3AA9"/>
    <w:rsid w:val="003C75F3"/>
    <w:rsid w:val="003C78A3"/>
    <w:rsid w:val="003D3016"/>
    <w:rsid w:val="003D5DB4"/>
    <w:rsid w:val="003E1867"/>
    <w:rsid w:val="003E4F3B"/>
    <w:rsid w:val="003E5729"/>
    <w:rsid w:val="003E7E6D"/>
    <w:rsid w:val="003F4EE0"/>
    <w:rsid w:val="003F6A2A"/>
    <w:rsid w:val="004013B6"/>
    <w:rsid w:val="00402153"/>
    <w:rsid w:val="00402FC1"/>
    <w:rsid w:val="004036FF"/>
    <w:rsid w:val="00403EF5"/>
    <w:rsid w:val="00405817"/>
    <w:rsid w:val="004062EB"/>
    <w:rsid w:val="00410A57"/>
    <w:rsid w:val="00411000"/>
    <w:rsid w:val="004120D0"/>
    <w:rsid w:val="004131E6"/>
    <w:rsid w:val="00422F03"/>
    <w:rsid w:val="00425082"/>
    <w:rsid w:val="00425C89"/>
    <w:rsid w:val="00425F1F"/>
    <w:rsid w:val="0043005A"/>
    <w:rsid w:val="00431DEB"/>
    <w:rsid w:val="00435986"/>
    <w:rsid w:val="0043648B"/>
    <w:rsid w:val="004367C3"/>
    <w:rsid w:val="00443AE4"/>
    <w:rsid w:val="00446AD2"/>
    <w:rsid w:val="00446B29"/>
    <w:rsid w:val="004520ED"/>
    <w:rsid w:val="00453545"/>
    <w:rsid w:val="00453F9A"/>
    <w:rsid w:val="00456126"/>
    <w:rsid w:val="004566FA"/>
    <w:rsid w:val="004656A6"/>
    <w:rsid w:val="00467F91"/>
    <w:rsid w:val="00471E91"/>
    <w:rsid w:val="004728F7"/>
    <w:rsid w:val="00474675"/>
    <w:rsid w:val="0047470C"/>
    <w:rsid w:val="004756EC"/>
    <w:rsid w:val="004810BE"/>
    <w:rsid w:val="0048177C"/>
    <w:rsid w:val="00487EC7"/>
    <w:rsid w:val="00491CC9"/>
    <w:rsid w:val="00492027"/>
    <w:rsid w:val="00492680"/>
    <w:rsid w:val="00495350"/>
    <w:rsid w:val="00495C40"/>
    <w:rsid w:val="004A10FC"/>
    <w:rsid w:val="004A35F9"/>
    <w:rsid w:val="004A4C40"/>
    <w:rsid w:val="004A7A84"/>
    <w:rsid w:val="004B24C1"/>
    <w:rsid w:val="004B7C6A"/>
    <w:rsid w:val="004C061B"/>
    <w:rsid w:val="004C292F"/>
    <w:rsid w:val="004C56A5"/>
    <w:rsid w:val="004C72CF"/>
    <w:rsid w:val="004D1553"/>
    <w:rsid w:val="004D600F"/>
    <w:rsid w:val="004D63B4"/>
    <w:rsid w:val="004D6BE5"/>
    <w:rsid w:val="004E0453"/>
    <w:rsid w:val="004E6488"/>
    <w:rsid w:val="004F32D5"/>
    <w:rsid w:val="004F7399"/>
    <w:rsid w:val="004F7B7B"/>
    <w:rsid w:val="00507814"/>
    <w:rsid w:val="00507D3E"/>
    <w:rsid w:val="00510280"/>
    <w:rsid w:val="00513D73"/>
    <w:rsid w:val="00514A43"/>
    <w:rsid w:val="00516763"/>
    <w:rsid w:val="005174E5"/>
    <w:rsid w:val="00521192"/>
    <w:rsid w:val="00522393"/>
    <w:rsid w:val="00522620"/>
    <w:rsid w:val="00525656"/>
    <w:rsid w:val="00530EBC"/>
    <w:rsid w:val="00533B0A"/>
    <w:rsid w:val="00534C02"/>
    <w:rsid w:val="00534DA6"/>
    <w:rsid w:val="005351C5"/>
    <w:rsid w:val="005362E1"/>
    <w:rsid w:val="00536419"/>
    <w:rsid w:val="00537EA8"/>
    <w:rsid w:val="00540888"/>
    <w:rsid w:val="00540EFD"/>
    <w:rsid w:val="0054264B"/>
    <w:rsid w:val="00543786"/>
    <w:rsid w:val="00546629"/>
    <w:rsid w:val="00551717"/>
    <w:rsid w:val="005533D7"/>
    <w:rsid w:val="0055340A"/>
    <w:rsid w:val="0055365C"/>
    <w:rsid w:val="005565DA"/>
    <w:rsid w:val="005641F1"/>
    <w:rsid w:val="0056434F"/>
    <w:rsid w:val="005703DE"/>
    <w:rsid w:val="0057263D"/>
    <w:rsid w:val="00572A57"/>
    <w:rsid w:val="00581976"/>
    <w:rsid w:val="00581AC3"/>
    <w:rsid w:val="00582DBF"/>
    <w:rsid w:val="00582E72"/>
    <w:rsid w:val="0058464E"/>
    <w:rsid w:val="00584B80"/>
    <w:rsid w:val="00590DDF"/>
    <w:rsid w:val="00592E1D"/>
    <w:rsid w:val="00593C5A"/>
    <w:rsid w:val="00596404"/>
    <w:rsid w:val="00596D56"/>
    <w:rsid w:val="00597F38"/>
    <w:rsid w:val="005A01CB"/>
    <w:rsid w:val="005A111D"/>
    <w:rsid w:val="005A3713"/>
    <w:rsid w:val="005A4B86"/>
    <w:rsid w:val="005A58FF"/>
    <w:rsid w:val="005A5EAF"/>
    <w:rsid w:val="005A64C0"/>
    <w:rsid w:val="005B066F"/>
    <w:rsid w:val="005B3122"/>
    <w:rsid w:val="005B3C11"/>
    <w:rsid w:val="005C10DE"/>
    <w:rsid w:val="005C1C28"/>
    <w:rsid w:val="005C2483"/>
    <w:rsid w:val="005C5A2D"/>
    <w:rsid w:val="005C6A3A"/>
    <w:rsid w:val="005C6DB5"/>
    <w:rsid w:val="005D0889"/>
    <w:rsid w:val="005D3E4B"/>
    <w:rsid w:val="005D72EA"/>
    <w:rsid w:val="005E0B80"/>
    <w:rsid w:val="005E19E7"/>
    <w:rsid w:val="005E7245"/>
    <w:rsid w:val="005F054A"/>
    <w:rsid w:val="005F3538"/>
    <w:rsid w:val="005F3B2C"/>
    <w:rsid w:val="005F42DC"/>
    <w:rsid w:val="00602CA0"/>
    <w:rsid w:val="006043DA"/>
    <w:rsid w:val="00606B0F"/>
    <w:rsid w:val="00607766"/>
    <w:rsid w:val="00611485"/>
    <w:rsid w:val="0061330E"/>
    <w:rsid w:val="00613824"/>
    <w:rsid w:val="0061589C"/>
    <w:rsid w:val="00615CEB"/>
    <w:rsid w:val="0061716C"/>
    <w:rsid w:val="006243A1"/>
    <w:rsid w:val="00626B87"/>
    <w:rsid w:val="00631949"/>
    <w:rsid w:val="00632E56"/>
    <w:rsid w:val="00635CBA"/>
    <w:rsid w:val="006373D6"/>
    <w:rsid w:val="0064179B"/>
    <w:rsid w:val="0064338B"/>
    <w:rsid w:val="00644A1A"/>
    <w:rsid w:val="00646542"/>
    <w:rsid w:val="006504F4"/>
    <w:rsid w:val="00651AB3"/>
    <w:rsid w:val="006523BB"/>
    <w:rsid w:val="00652660"/>
    <w:rsid w:val="006549CE"/>
    <w:rsid w:val="00654BC9"/>
    <w:rsid w:val="00654CB6"/>
    <w:rsid w:val="006552FD"/>
    <w:rsid w:val="00656490"/>
    <w:rsid w:val="00656611"/>
    <w:rsid w:val="00657272"/>
    <w:rsid w:val="0066006A"/>
    <w:rsid w:val="00661533"/>
    <w:rsid w:val="00662DAB"/>
    <w:rsid w:val="006637D5"/>
    <w:rsid w:val="00663AF3"/>
    <w:rsid w:val="00665F98"/>
    <w:rsid w:val="0066690B"/>
    <w:rsid w:val="00666B6C"/>
    <w:rsid w:val="00670598"/>
    <w:rsid w:val="00671CBA"/>
    <w:rsid w:val="006743AB"/>
    <w:rsid w:val="0067718F"/>
    <w:rsid w:val="00680B62"/>
    <w:rsid w:val="00682682"/>
    <w:rsid w:val="00682702"/>
    <w:rsid w:val="00682C91"/>
    <w:rsid w:val="006850F5"/>
    <w:rsid w:val="00685E1B"/>
    <w:rsid w:val="00686F9C"/>
    <w:rsid w:val="006874D8"/>
    <w:rsid w:val="00690982"/>
    <w:rsid w:val="00692368"/>
    <w:rsid w:val="00692D23"/>
    <w:rsid w:val="00697039"/>
    <w:rsid w:val="006A020B"/>
    <w:rsid w:val="006A2EBC"/>
    <w:rsid w:val="006A4A82"/>
    <w:rsid w:val="006A4C07"/>
    <w:rsid w:val="006A5EA0"/>
    <w:rsid w:val="006A606B"/>
    <w:rsid w:val="006A783B"/>
    <w:rsid w:val="006A7B33"/>
    <w:rsid w:val="006B152A"/>
    <w:rsid w:val="006B1B6D"/>
    <w:rsid w:val="006B4E13"/>
    <w:rsid w:val="006B6D4A"/>
    <w:rsid w:val="006B75DD"/>
    <w:rsid w:val="006C22E6"/>
    <w:rsid w:val="006C3156"/>
    <w:rsid w:val="006C3603"/>
    <w:rsid w:val="006C4E17"/>
    <w:rsid w:val="006C67E0"/>
    <w:rsid w:val="006C6B75"/>
    <w:rsid w:val="006C76F2"/>
    <w:rsid w:val="006C7ABA"/>
    <w:rsid w:val="006D0D60"/>
    <w:rsid w:val="006D0DB3"/>
    <w:rsid w:val="006D0F80"/>
    <w:rsid w:val="006D1122"/>
    <w:rsid w:val="006D33A8"/>
    <w:rsid w:val="006D3C00"/>
    <w:rsid w:val="006D5422"/>
    <w:rsid w:val="006D5599"/>
    <w:rsid w:val="006E3675"/>
    <w:rsid w:val="006E4642"/>
    <w:rsid w:val="006E4A7F"/>
    <w:rsid w:val="006E51AA"/>
    <w:rsid w:val="006E51FE"/>
    <w:rsid w:val="006F109F"/>
    <w:rsid w:val="006F13FD"/>
    <w:rsid w:val="006F40D9"/>
    <w:rsid w:val="006F40FC"/>
    <w:rsid w:val="006F6270"/>
    <w:rsid w:val="00702965"/>
    <w:rsid w:val="007030CB"/>
    <w:rsid w:val="00704DF6"/>
    <w:rsid w:val="00706121"/>
    <w:rsid w:val="0070651C"/>
    <w:rsid w:val="0070686B"/>
    <w:rsid w:val="00710912"/>
    <w:rsid w:val="0071109A"/>
    <w:rsid w:val="00712831"/>
    <w:rsid w:val="007132A3"/>
    <w:rsid w:val="00716421"/>
    <w:rsid w:val="0071705C"/>
    <w:rsid w:val="007175BE"/>
    <w:rsid w:val="00720A71"/>
    <w:rsid w:val="0072419D"/>
    <w:rsid w:val="00724EFB"/>
    <w:rsid w:val="00725C61"/>
    <w:rsid w:val="00731B55"/>
    <w:rsid w:val="00733929"/>
    <w:rsid w:val="007419C3"/>
    <w:rsid w:val="00742339"/>
    <w:rsid w:val="007467A7"/>
    <w:rsid w:val="007469DD"/>
    <w:rsid w:val="00747158"/>
    <w:rsid w:val="0074741B"/>
    <w:rsid w:val="0074759E"/>
    <w:rsid w:val="007478EA"/>
    <w:rsid w:val="00751B55"/>
    <w:rsid w:val="0075415C"/>
    <w:rsid w:val="00754D32"/>
    <w:rsid w:val="00760FF0"/>
    <w:rsid w:val="007624B4"/>
    <w:rsid w:val="00763502"/>
    <w:rsid w:val="00776817"/>
    <w:rsid w:val="007774DC"/>
    <w:rsid w:val="00777BB7"/>
    <w:rsid w:val="007820B6"/>
    <w:rsid w:val="0078298E"/>
    <w:rsid w:val="007907FF"/>
    <w:rsid w:val="007913AB"/>
    <w:rsid w:val="007914F7"/>
    <w:rsid w:val="00795EF0"/>
    <w:rsid w:val="007962E2"/>
    <w:rsid w:val="00796BED"/>
    <w:rsid w:val="007A5167"/>
    <w:rsid w:val="007B1625"/>
    <w:rsid w:val="007B3712"/>
    <w:rsid w:val="007B4DEE"/>
    <w:rsid w:val="007B706E"/>
    <w:rsid w:val="007B71EB"/>
    <w:rsid w:val="007C2FAA"/>
    <w:rsid w:val="007C4F5E"/>
    <w:rsid w:val="007C4F8C"/>
    <w:rsid w:val="007C6205"/>
    <w:rsid w:val="007C686A"/>
    <w:rsid w:val="007C728E"/>
    <w:rsid w:val="007D2C53"/>
    <w:rsid w:val="007D3D60"/>
    <w:rsid w:val="007D7104"/>
    <w:rsid w:val="007E1980"/>
    <w:rsid w:val="007E2026"/>
    <w:rsid w:val="007E4B76"/>
    <w:rsid w:val="007E5EA8"/>
    <w:rsid w:val="007F0CF1"/>
    <w:rsid w:val="007F12A5"/>
    <w:rsid w:val="007F2731"/>
    <w:rsid w:val="007F2C24"/>
    <w:rsid w:val="007F4CF1"/>
    <w:rsid w:val="007F74FC"/>
    <w:rsid w:val="007F758D"/>
    <w:rsid w:val="007F7D52"/>
    <w:rsid w:val="008011DC"/>
    <w:rsid w:val="00801692"/>
    <w:rsid w:val="00803A1F"/>
    <w:rsid w:val="0080539E"/>
    <w:rsid w:val="0080544F"/>
    <w:rsid w:val="0080654C"/>
    <w:rsid w:val="008065DB"/>
    <w:rsid w:val="008071C6"/>
    <w:rsid w:val="008141B1"/>
    <w:rsid w:val="00816C74"/>
    <w:rsid w:val="00817A00"/>
    <w:rsid w:val="00825745"/>
    <w:rsid w:val="00827A40"/>
    <w:rsid w:val="008335DA"/>
    <w:rsid w:val="00835DB3"/>
    <w:rsid w:val="0083617B"/>
    <w:rsid w:val="008371BD"/>
    <w:rsid w:val="00837C3F"/>
    <w:rsid w:val="00841DCC"/>
    <w:rsid w:val="00842CE8"/>
    <w:rsid w:val="00844D34"/>
    <w:rsid w:val="00845327"/>
    <w:rsid w:val="00850359"/>
    <w:rsid w:val="008504A8"/>
    <w:rsid w:val="0085282E"/>
    <w:rsid w:val="008601D4"/>
    <w:rsid w:val="00862CED"/>
    <w:rsid w:val="00863D5F"/>
    <w:rsid w:val="0087198C"/>
    <w:rsid w:val="00872129"/>
    <w:rsid w:val="00872C1F"/>
    <w:rsid w:val="00873B42"/>
    <w:rsid w:val="00873C81"/>
    <w:rsid w:val="0088393B"/>
    <w:rsid w:val="008856D8"/>
    <w:rsid w:val="0089092E"/>
    <w:rsid w:val="00891311"/>
    <w:rsid w:val="008918EB"/>
    <w:rsid w:val="00892E82"/>
    <w:rsid w:val="00893D1B"/>
    <w:rsid w:val="00893E5C"/>
    <w:rsid w:val="00894DAC"/>
    <w:rsid w:val="00894FDA"/>
    <w:rsid w:val="008C0AA5"/>
    <w:rsid w:val="008C1B58"/>
    <w:rsid w:val="008C27E7"/>
    <w:rsid w:val="008C32D9"/>
    <w:rsid w:val="008C39AE"/>
    <w:rsid w:val="008C590D"/>
    <w:rsid w:val="008C5C65"/>
    <w:rsid w:val="008C7F4F"/>
    <w:rsid w:val="008E031B"/>
    <w:rsid w:val="008E64EC"/>
    <w:rsid w:val="008E7029"/>
    <w:rsid w:val="008E7EF6"/>
    <w:rsid w:val="008F1F98"/>
    <w:rsid w:val="008F30F3"/>
    <w:rsid w:val="008F575E"/>
    <w:rsid w:val="008F5B5E"/>
    <w:rsid w:val="008F6007"/>
    <w:rsid w:val="008F60BF"/>
    <w:rsid w:val="008F6758"/>
    <w:rsid w:val="00902F23"/>
    <w:rsid w:val="009040DD"/>
    <w:rsid w:val="009045BA"/>
    <w:rsid w:val="00905B47"/>
    <w:rsid w:val="00906619"/>
    <w:rsid w:val="00907EA4"/>
    <w:rsid w:val="0091331C"/>
    <w:rsid w:val="009168DC"/>
    <w:rsid w:val="009173BB"/>
    <w:rsid w:val="0091782E"/>
    <w:rsid w:val="00920E8E"/>
    <w:rsid w:val="00921E5D"/>
    <w:rsid w:val="009279DE"/>
    <w:rsid w:val="00930116"/>
    <w:rsid w:val="0093231C"/>
    <w:rsid w:val="0093247D"/>
    <w:rsid w:val="00932FEA"/>
    <w:rsid w:val="00933327"/>
    <w:rsid w:val="00933ECC"/>
    <w:rsid w:val="00934B29"/>
    <w:rsid w:val="0093741A"/>
    <w:rsid w:val="0094212C"/>
    <w:rsid w:val="0094257E"/>
    <w:rsid w:val="00943A10"/>
    <w:rsid w:val="00944247"/>
    <w:rsid w:val="009445DB"/>
    <w:rsid w:val="00946349"/>
    <w:rsid w:val="0094666B"/>
    <w:rsid w:val="009473EB"/>
    <w:rsid w:val="009522A5"/>
    <w:rsid w:val="00954207"/>
    <w:rsid w:val="00954689"/>
    <w:rsid w:val="00957324"/>
    <w:rsid w:val="009617C9"/>
    <w:rsid w:val="00961C93"/>
    <w:rsid w:val="00965324"/>
    <w:rsid w:val="0097091E"/>
    <w:rsid w:val="009715D9"/>
    <w:rsid w:val="009760D3"/>
    <w:rsid w:val="00977132"/>
    <w:rsid w:val="00977F56"/>
    <w:rsid w:val="00981A4B"/>
    <w:rsid w:val="00982501"/>
    <w:rsid w:val="00983F14"/>
    <w:rsid w:val="00984BA1"/>
    <w:rsid w:val="009877D3"/>
    <w:rsid w:val="00991623"/>
    <w:rsid w:val="00994E8F"/>
    <w:rsid w:val="009951DC"/>
    <w:rsid w:val="009959BB"/>
    <w:rsid w:val="00995E66"/>
    <w:rsid w:val="0099682B"/>
    <w:rsid w:val="00997158"/>
    <w:rsid w:val="009976DC"/>
    <w:rsid w:val="009A306D"/>
    <w:rsid w:val="009A32BC"/>
    <w:rsid w:val="009A36B5"/>
    <w:rsid w:val="009A3A3B"/>
    <w:rsid w:val="009A3A7C"/>
    <w:rsid w:val="009A4740"/>
    <w:rsid w:val="009A728A"/>
    <w:rsid w:val="009B2ADB"/>
    <w:rsid w:val="009B603A"/>
    <w:rsid w:val="009C2D0E"/>
    <w:rsid w:val="009C3DAC"/>
    <w:rsid w:val="009C42E0"/>
    <w:rsid w:val="009C4FBD"/>
    <w:rsid w:val="009D5362"/>
    <w:rsid w:val="009D54EA"/>
    <w:rsid w:val="009D6292"/>
    <w:rsid w:val="009E1415"/>
    <w:rsid w:val="009E4DA6"/>
    <w:rsid w:val="009E4F2B"/>
    <w:rsid w:val="009E6116"/>
    <w:rsid w:val="009F22CD"/>
    <w:rsid w:val="00A01A59"/>
    <w:rsid w:val="00A02E43"/>
    <w:rsid w:val="00A065F9"/>
    <w:rsid w:val="00A07F34"/>
    <w:rsid w:val="00A11366"/>
    <w:rsid w:val="00A20EE6"/>
    <w:rsid w:val="00A21D9F"/>
    <w:rsid w:val="00A22154"/>
    <w:rsid w:val="00A25C38"/>
    <w:rsid w:val="00A3139E"/>
    <w:rsid w:val="00A314F5"/>
    <w:rsid w:val="00A31EEA"/>
    <w:rsid w:val="00A32688"/>
    <w:rsid w:val="00A35522"/>
    <w:rsid w:val="00A35CC1"/>
    <w:rsid w:val="00A36BBE"/>
    <w:rsid w:val="00A374F5"/>
    <w:rsid w:val="00A4083A"/>
    <w:rsid w:val="00A42F2C"/>
    <w:rsid w:val="00A4307A"/>
    <w:rsid w:val="00A43CDC"/>
    <w:rsid w:val="00A44018"/>
    <w:rsid w:val="00A4703F"/>
    <w:rsid w:val="00A47EBB"/>
    <w:rsid w:val="00A51815"/>
    <w:rsid w:val="00A51CDD"/>
    <w:rsid w:val="00A522DB"/>
    <w:rsid w:val="00A5499C"/>
    <w:rsid w:val="00A55081"/>
    <w:rsid w:val="00A578F4"/>
    <w:rsid w:val="00A57944"/>
    <w:rsid w:val="00A61653"/>
    <w:rsid w:val="00A64267"/>
    <w:rsid w:val="00A6730D"/>
    <w:rsid w:val="00A71625"/>
    <w:rsid w:val="00A71B9B"/>
    <w:rsid w:val="00A72A70"/>
    <w:rsid w:val="00A74609"/>
    <w:rsid w:val="00A751C7"/>
    <w:rsid w:val="00A76316"/>
    <w:rsid w:val="00A76446"/>
    <w:rsid w:val="00A76F0B"/>
    <w:rsid w:val="00A81D6F"/>
    <w:rsid w:val="00A8400E"/>
    <w:rsid w:val="00A84A0B"/>
    <w:rsid w:val="00A87844"/>
    <w:rsid w:val="00A90256"/>
    <w:rsid w:val="00AA038C"/>
    <w:rsid w:val="00AA1CD6"/>
    <w:rsid w:val="00AA5BD4"/>
    <w:rsid w:val="00AA7A09"/>
    <w:rsid w:val="00AB1D6B"/>
    <w:rsid w:val="00AB3B50"/>
    <w:rsid w:val="00AB3D6F"/>
    <w:rsid w:val="00AB496E"/>
    <w:rsid w:val="00AB6327"/>
    <w:rsid w:val="00AC0470"/>
    <w:rsid w:val="00AC05B1"/>
    <w:rsid w:val="00AD2DC8"/>
    <w:rsid w:val="00AD3162"/>
    <w:rsid w:val="00AD356C"/>
    <w:rsid w:val="00AD5CE0"/>
    <w:rsid w:val="00AD6788"/>
    <w:rsid w:val="00AD78DE"/>
    <w:rsid w:val="00AD7B02"/>
    <w:rsid w:val="00AE2914"/>
    <w:rsid w:val="00AE6D15"/>
    <w:rsid w:val="00AF090E"/>
    <w:rsid w:val="00AF246E"/>
    <w:rsid w:val="00AF4545"/>
    <w:rsid w:val="00B02C34"/>
    <w:rsid w:val="00B02F4F"/>
    <w:rsid w:val="00B04182"/>
    <w:rsid w:val="00B06671"/>
    <w:rsid w:val="00B07AE3"/>
    <w:rsid w:val="00B11430"/>
    <w:rsid w:val="00B1719A"/>
    <w:rsid w:val="00B179D4"/>
    <w:rsid w:val="00B228DD"/>
    <w:rsid w:val="00B244D3"/>
    <w:rsid w:val="00B25454"/>
    <w:rsid w:val="00B26515"/>
    <w:rsid w:val="00B26627"/>
    <w:rsid w:val="00B27317"/>
    <w:rsid w:val="00B2758E"/>
    <w:rsid w:val="00B3154F"/>
    <w:rsid w:val="00B34AA9"/>
    <w:rsid w:val="00B353EB"/>
    <w:rsid w:val="00B37513"/>
    <w:rsid w:val="00B378E7"/>
    <w:rsid w:val="00B439C4"/>
    <w:rsid w:val="00B44AFA"/>
    <w:rsid w:val="00B4535E"/>
    <w:rsid w:val="00B51213"/>
    <w:rsid w:val="00B51597"/>
    <w:rsid w:val="00B51E2C"/>
    <w:rsid w:val="00B52399"/>
    <w:rsid w:val="00B52A8C"/>
    <w:rsid w:val="00B61D8E"/>
    <w:rsid w:val="00B636A8"/>
    <w:rsid w:val="00B65856"/>
    <w:rsid w:val="00B665C6"/>
    <w:rsid w:val="00B736B2"/>
    <w:rsid w:val="00B74519"/>
    <w:rsid w:val="00B776BE"/>
    <w:rsid w:val="00B77B37"/>
    <w:rsid w:val="00B805AF"/>
    <w:rsid w:val="00B81FFA"/>
    <w:rsid w:val="00B85563"/>
    <w:rsid w:val="00B869EC"/>
    <w:rsid w:val="00B87DC2"/>
    <w:rsid w:val="00B87E4B"/>
    <w:rsid w:val="00B91380"/>
    <w:rsid w:val="00B9397A"/>
    <w:rsid w:val="00B9500B"/>
    <w:rsid w:val="00B954EF"/>
    <w:rsid w:val="00B9633D"/>
    <w:rsid w:val="00BA2EBE"/>
    <w:rsid w:val="00BA64E8"/>
    <w:rsid w:val="00BB03D3"/>
    <w:rsid w:val="00BB0F28"/>
    <w:rsid w:val="00BB458A"/>
    <w:rsid w:val="00BC1C83"/>
    <w:rsid w:val="00BC35A5"/>
    <w:rsid w:val="00BC3B28"/>
    <w:rsid w:val="00BC767E"/>
    <w:rsid w:val="00BD00D3"/>
    <w:rsid w:val="00BD1659"/>
    <w:rsid w:val="00BD3AA9"/>
    <w:rsid w:val="00BD4A18"/>
    <w:rsid w:val="00BD6DB2"/>
    <w:rsid w:val="00BD6FFD"/>
    <w:rsid w:val="00BE11CF"/>
    <w:rsid w:val="00BE21AB"/>
    <w:rsid w:val="00BE41DE"/>
    <w:rsid w:val="00BE55CB"/>
    <w:rsid w:val="00BE5AE8"/>
    <w:rsid w:val="00BF617A"/>
    <w:rsid w:val="00BF763D"/>
    <w:rsid w:val="00C0379D"/>
    <w:rsid w:val="00C03931"/>
    <w:rsid w:val="00C04344"/>
    <w:rsid w:val="00C05FE3"/>
    <w:rsid w:val="00C07779"/>
    <w:rsid w:val="00C10F2F"/>
    <w:rsid w:val="00C1288F"/>
    <w:rsid w:val="00C12FEE"/>
    <w:rsid w:val="00C2136D"/>
    <w:rsid w:val="00C214EE"/>
    <w:rsid w:val="00C2314B"/>
    <w:rsid w:val="00C24971"/>
    <w:rsid w:val="00C26BE5"/>
    <w:rsid w:val="00C26E4D"/>
    <w:rsid w:val="00C2774A"/>
    <w:rsid w:val="00C27909"/>
    <w:rsid w:val="00C27B03"/>
    <w:rsid w:val="00C314E1"/>
    <w:rsid w:val="00C33979"/>
    <w:rsid w:val="00C34397"/>
    <w:rsid w:val="00C3571F"/>
    <w:rsid w:val="00C400E7"/>
    <w:rsid w:val="00C4095D"/>
    <w:rsid w:val="00C41227"/>
    <w:rsid w:val="00C42556"/>
    <w:rsid w:val="00C54519"/>
    <w:rsid w:val="00C551E4"/>
    <w:rsid w:val="00C601D2"/>
    <w:rsid w:val="00C657AB"/>
    <w:rsid w:val="00C65BCC"/>
    <w:rsid w:val="00C66970"/>
    <w:rsid w:val="00C67F78"/>
    <w:rsid w:val="00C71154"/>
    <w:rsid w:val="00C774D7"/>
    <w:rsid w:val="00C813A0"/>
    <w:rsid w:val="00C865EE"/>
    <w:rsid w:val="00C8691C"/>
    <w:rsid w:val="00C95C09"/>
    <w:rsid w:val="00CA1431"/>
    <w:rsid w:val="00CA168A"/>
    <w:rsid w:val="00CA357E"/>
    <w:rsid w:val="00CA44F9"/>
    <w:rsid w:val="00CA4A69"/>
    <w:rsid w:val="00CA742E"/>
    <w:rsid w:val="00CB2508"/>
    <w:rsid w:val="00CC3E0C"/>
    <w:rsid w:val="00CC58D3"/>
    <w:rsid w:val="00CC7023"/>
    <w:rsid w:val="00CC784D"/>
    <w:rsid w:val="00CD068F"/>
    <w:rsid w:val="00CD18F4"/>
    <w:rsid w:val="00CD3A3B"/>
    <w:rsid w:val="00CE35F2"/>
    <w:rsid w:val="00CE5D20"/>
    <w:rsid w:val="00CF1691"/>
    <w:rsid w:val="00CF377A"/>
    <w:rsid w:val="00CF788D"/>
    <w:rsid w:val="00CF7A09"/>
    <w:rsid w:val="00CF7EED"/>
    <w:rsid w:val="00D01356"/>
    <w:rsid w:val="00D0337B"/>
    <w:rsid w:val="00D04276"/>
    <w:rsid w:val="00D04AF7"/>
    <w:rsid w:val="00D0584A"/>
    <w:rsid w:val="00D079B2"/>
    <w:rsid w:val="00D1108B"/>
    <w:rsid w:val="00D114E9"/>
    <w:rsid w:val="00D1205F"/>
    <w:rsid w:val="00D16A09"/>
    <w:rsid w:val="00D20054"/>
    <w:rsid w:val="00D21C44"/>
    <w:rsid w:val="00D30198"/>
    <w:rsid w:val="00D36682"/>
    <w:rsid w:val="00D429C6"/>
    <w:rsid w:val="00D457B5"/>
    <w:rsid w:val="00D4649A"/>
    <w:rsid w:val="00D472EC"/>
    <w:rsid w:val="00D47748"/>
    <w:rsid w:val="00D51477"/>
    <w:rsid w:val="00D5465E"/>
    <w:rsid w:val="00D54CC3"/>
    <w:rsid w:val="00D6041A"/>
    <w:rsid w:val="00D6048D"/>
    <w:rsid w:val="00D629D9"/>
    <w:rsid w:val="00D633EB"/>
    <w:rsid w:val="00D662B8"/>
    <w:rsid w:val="00D668AE"/>
    <w:rsid w:val="00D66B71"/>
    <w:rsid w:val="00D73D68"/>
    <w:rsid w:val="00D7638C"/>
    <w:rsid w:val="00D77CF3"/>
    <w:rsid w:val="00D82169"/>
    <w:rsid w:val="00D82FF7"/>
    <w:rsid w:val="00D8306D"/>
    <w:rsid w:val="00D8411C"/>
    <w:rsid w:val="00D847FE"/>
    <w:rsid w:val="00D912E4"/>
    <w:rsid w:val="00D91860"/>
    <w:rsid w:val="00D95622"/>
    <w:rsid w:val="00D964EA"/>
    <w:rsid w:val="00D966D0"/>
    <w:rsid w:val="00D97352"/>
    <w:rsid w:val="00DA0C59"/>
    <w:rsid w:val="00DA2E00"/>
    <w:rsid w:val="00DA3991"/>
    <w:rsid w:val="00DA4A7F"/>
    <w:rsid w:val="00DB1F17"/>
    <w:rsid w:val="00DB47DB"/>
    <w:rsid w:val="00DB4A31"/>
    <w:rsid w:val="00DB6406"/>
    <w:rsid w:val="00DB6AA2"/>
    <w:rsid w:val="00DB7E6C"/>
    <w:rsid w:val="00DC6186"/>
    <w:rsid w:val="00DC6E16"/>
    <w:rsid w:val="00DD2D8B"/>
    <w:rsid w:val="00DD5A29"/>
    <w:rsid w:val="00DD5D9D"/>
    <w:rsid w:val="00DE35CB"/>
    <w:rsid w:val="00DE6184"/>
    <w:rsid w:val="00DE70C9"/>
    <w:rsid w:val="00DF21E9"/>
    <w:rsid w:val="00DF32F3"/>
    <w:rsid w:val="00DF405F"/>
    <w:rsid w:val="00DF552F"/>
    <w:rsid w:val="00DF752F"/>
    <w:rsid w:val="00E00F14"/>
    <w:rsid w:val="00E050B8"/>
    <w:rsid w:val="00E06386"/>
    <w:rsid w:val="00E1411F"/>
    <w:rsid w:val="00E20B47"/>
    <w:rsid w:val="00E24EB4"/>
    <w:rsid w:val="00E320ED"/>
    <w:rsid w:val="00E33AFB"/>
    <w:rsid w:val="00E34218"/>
    <w:rsid w:val="00E370CF"/>
    <w:rsid w:val="00E46282"/>
    <w:rsid w:val="00E52027"/>
    <w:rsid w:val="00E5216E"/>
    <w:rsid w:val="00E563CB"/>
    <w:rsid w:val="00E636DF"/>
    <w:rsid w:val="00E677FB"/>
    <w:rsid w:val="00E7387F"/>
    <w:rsid w:val="00E74012"/>
    <w:rsid w:val="00E77D0A"/>
    <w:rsid w:val="00E82344"/>
    <w:rsid w:val="00E839FC"/>
    <w:rsid w:val="00E8434D"/>
    <w:rsid w:val="00E84C82"/>
    <w:rsid w:val="00E84D64"/>
    <w:rsid w:val="00E84F74"/>
    <w:rsid w:val="00E8656E"/>
    <w:rsid w:val="00E87408"/>
    <w:rsid w:val="00E914C4"/>
    <w:rsid w:val="00E934F5"/>
    <w:rsid w:val="00E94AE2"/>
    <w:rsid w:val="00E95754"/>
    <w:rsid w:val="00E96961"/>
    <w:rsid w:val="00EA3361"/>
    <w:rsid w:val="00EA6D51"/>
    <w:rsid w:val="00EA72EC"/>
    <w:rsid w:val="00EB0471"/>
    <w:rsid w:val="00EB11CB"/>
    <w:rsid w:val="00EB275A"/>
    <w:rsid w:val="00EB786A"/>
    <w:rsid w:val="00EC1578"/>
    <w:rsid w:val="00EC1C72"/>
    <w:rsid w:val="00EC2550"/>
    <w:rsid w:val="00EC3CC9"/>
    <w:rsid w:val="00EC56BD"/>
    <w:rsid w:val="00EC680A"/>
    <w:rsid w:val="00ED0857"/>
    <w:rsid w:val="00ED0FD8"/>
    <w:rsid w:val="00ED19E7"/>
    <w:rsid w:val="00ED25A5"/>
    <w:rsid w:val="00ED3E3C"/>
    <w:rsid w:val="00ED7CFD"/>
    <w:rsid w:val="00EE0585"/>
    <w:rsid w:val="00EE2B2A"/>
    <w:rsid w:val="00EE2BED"/>
    <w:rsid w:val="00EE2BF2"/>
    <w:rsid w:val="00EE374B"/>
    <w:rsid w:val="00EF0677"/>
    <w:rsid w:val="00EF4476"/>
    <w:rsid w:val="00EF511F"/>
    <w:rsid w:val="00EF518C"/>
    <w:rsid w:val="00EF7E15"/>
    <w:rsid w:val="00F05EE3"/>
    <w:rsid w:val="00F063C2"/>
    <w:rsid w:val="00F11BB5"/>
    <w:rsid w:val="00F12030"/>
    <w:rsid w:val="00F1312A"/>
    <w:rsid w:val="00F1405E"/>
    <w:rsid w:val="00F1417B"/>
    <w:rsid w:val="00F22889"/>
    <w:rsid w:val="00F228FD"/>
    <w:rsid w:val="00F33A98"/>
    <w:rsid w:val="00F34B99"/>
    <w:rsid w:val="00F40493"/>
    <w:rsid w:val="00F40A99"/>
    <w:rsid w:val="00F42FD7"/>
    <w:rsid w:val="00F43618"/>
    <w:rsid w:val="00F4510F"/>
    <w:rsid w:val="00F464D6"/>
    <w:rsid w:val="00F50144"/>
    <w:rsid w:val="00F51086"/>
    <w:rsid w:val="00F51CB9"/>
    <w:rsid w:val="00F52DAB"/>
    <w:rsid w:val="00F543F0"/>
    <w:rsid w:val="00F571C0"/>
    <w:rsid w:val="00F65A24"/>
    <w:rsid w:val="00F6662B"/>
    <w:rsid w:val="00F7310A"/>
    <w:rsid w:val="00F75B96"/>
    <w:rsid w:val="00F81D29"/>
    <w:rsid w:val="00F81FD4"/>
    <w:rsid w:val="00F84B7D"/>
    <w:rsid w:val="00F90D9D"/>
    <w:rsid w:val="00F91C4D"/>
    <w:rsid w:val="00F92FD9"/>
    <w:rsid w:val="00FA239D"/>
    <w:rsid w:val="00FA6684"/>
    <w:rsid w:val="00FA731E"/>
    <w:rsid w:val="00FA7DF3"/>
    <w:rsid w:val="00FB2B38"/>
    <w:rsid w:val="00FB35A2"/>
    <w:rsid w:val="00FB73E3"/>
    <w:rsid w:val="00FC2826"/>
    <w:rsid w:val="00FC29A1"/>
    <w:rsid w:val="00FC6358"/>
    <w:rsid w:val="00FD2020"/>
    <w:rsid w:val="00FD320D"/>
    <w:rsid w:val="00FD46AD"/>
    <w:rsid w:val="00FD69BC"/>
    <w:rsid w:val="00FD720D"/>
    <w:rsid w:val="00FD7DAA"/>
    <w:rsid w:val="00FE23DE"/>
    <w:rsid w:val="00FE541F"/>
    <w:rsid w:val="00FE5ADD"/>
    <w:rsid w:val="00FE7DE0"/>
    <w:rsid w:val="00FF296A"/>
    <w:rsid w:val="00FF3C0D"/>
    <w:rsid w:val="00FF4DA2"/>
    <w:rsid w:val="00FF704B"/>
    <w:rsid w:val="00FF70DA"/>
    <w:rsid w:val="FFFB84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toc 7"/>
    <w:basedOn w:val="1"/>
    <w:next w:val="1"/>
    <w:semiHidden/>
    <w:qFormat/>
    <w:uiPriority w:val="0"/>
    <w:pPr>
      <w:tabs>
        <w:tab w:val="right" w:leader="dot" w:pos="9241"/>
      </w:tabs>
      <w:ind w:firstLine="505" w:firstLineChars="500"/>
      <w:jc w:val="left"/>
    </w:pPr>
    <w:rPr>
      <w:rFonts w:ascii="宋体"/>
      <w:szCs w:val="21"/>
    </w:rPr>
  </w:style>
  <w:style w:type="paragraph" w:styleId="3">
    <w:name w:val="index 8"/>
    <w:basedOn w:val="1"/>
    <w:next w:val="1"/>
    <w:qFormat/>
    <w:uiPriority w:val="0"/>
    <w:pPr>
      <w:ind w:left="1680" w:hanging="210"/>
      <w:jc w:val="left"/>
    </w:pPr>
    <w:rPr>
      <w:rFonts w:ascii="Calibri" w:hAnsi="Calibri"/>
      <w:sz w:val="20"/>
      <w:szCs w:val="20"/>
    </w:rPr>
  </w:style>
  <w:style w:type="paragraph" w:styleId="4">
    <w:name w:val="caption"/>
    <w:basedOn w:val="1"/>
    <w:next w:val="1"/>
    <w:qFormat/>
    <w:uiPriority w:val="0"/>
    <w:pPr>
      <w:spacing w:before="152" w:after="160"/>
    </w:pPr>
    <w:rPr>
      <w:rFonts w:ascii="Arial" w:hAnsi="Arial" w:eastAsia="黑体" w:cs="Arial"/>
      <w:sz w:val="20"/>
      <w:szCs w:val="20"/>
    </w:rPr>
  </w:style>
  <w:style w:type="paragraph" w:styleId="5">
    <w:name w:val="index 5"/>
    <w:basedOn w:val="1"/>
    <w:next w:val="1"/>
    <w:qFormat/>
    <w:uiPriority w:val="0"/>
    <w:pPr>
      <w:ind w:left="1050" w:hanging="210"/>
      <w:jc w:val="left"/>
    </w:pPr>
    <w:rPr>
      <w:rFonts w:ascii="Calibri" w:hAnsi="Calibri"/>
      <w:sz w:val="20"/>
      <w:szCs w:val="20"/>
    </w:rPr>
  </w:style>
  <w:style w:type="paragraph" w:styleId="6">
    <w:name w:val="Document Map"/>
    <w:basedOn w:val="1"/>
    <w:semiHidden/>
    <w:qFormat/>
    <w:uiPriority w:val="0"/>
    <w:pPr>
      <w:shd w:val="clear" w:color="auto" w:fill="000080"/>
    </w:pPr>
  </w:style>
  <w:style w:type="paragraph" w:styleId="7">
    <w:name w:val="index 6"/>
    <w:basedOn w:val="1"/>
    <w:next w:val="1"/>
    <w:qFormat/>
    <w:uiPriority w:val="0"/>
    <w:pPr>
      <w:ind w:left="1260" w:hanging="210"/>
      <w:jc w:val="left"/>
    </w:pPr>
    <w:rPr>
      <w:rFonts w:ascii="Calibri" w:hAnsi="Calibri"/>
      <w:sz w:val="20"/>
      <w:szCs w:val="20"/>
    </w:rPr>
  </w:style>
  <w:style w:type="paragraph" w:styleId="8">
    <w:name w:val="index 4"/>
    <w:basedOn w:val="1"/>
    <w:next w:val="1"/>
    <w:qFormat/>
    <w:uiPriority w:val="0"/>
    <w:pPr>
      <w:ind w:left="840" w:hanging="210"/>
      <w:jc w:val="left"/>
    </w:pPr>
    <w:rPr>
      <w:rFonts w:ascii="Calibri" w:hAnsi="Calibri"/>
      <w:sz w:val="20"/>
      <w:szCs w:val="20"/>
    </w:rPr>
  </w:style>
  <w:style w:type="paragraph" w:styleId="9">
    <w:name w:val="toc 5"/>
    <w:basedOn w:val="1"/>
    <w:next w:val="1"/>
    <w:semiHidden/>
    <w:qFormat/>
    <w:uiPriority w:val="0"/>
    <w:pPr>
      <w:tabs>
        <w:tab w:val="right" w:leader="dot" w:pos="9241"/>
      </w:tabs>
      <w:ind w:firstLine="300" w:firstLineChars="300"/>
      <w:jc w:val="left"/>
    </w:pPr>
    <w:rPr>
      <w:rFonts w:ascii="宋体"/>
      <w:szCs w:val="21"/>
    </w:rPr>
  </w:style>
  <w:style w:type="paragraph" w:styleId="10">
    <w:name w:val="toc 3"/>
    <w:basedOn w:val="1"/>
    <w:next w:val="1"/>
    <w:qFormat/>
    <w:uiPriority w:val="39"/>
    <w:pPr>
      <w:tabs>
        <w:tab w:val="right" w:leader="dot" w:pos="9241"/>
      </w:tabs>
      <w:ind w:firstLine="102" w:firstLineChars="100"/>
      <w:jc w:val="left"/>
    </w:pPr>
    <w:rPr>
      <w:rFonts w:ascii="宋体"/>
      <w:szCs w:val="21"/>
    </w:rPr>
  </w:style>
  <w:style w:type="paragraph" w:styleId="11">
    <w:name w:val="toc 8"/>
    <w:basedOn w:val="1"/>
    <w:next w:val="1"/>
    <w:semiHidden/>
    <w:qFormat/>
    <w:uiPriority w:val="0"/>
    <w:pPr>
      <w:tabs>
        <w:tab w:val="right" w:leader="dot" w:pos="9241"/>
      </w:tabs>
      <w:ind w:firstLine="607" w:firstLineChars="600"/>
      <w:jc w:val="left"/>
    </w:pPr>
    <w:rPr>
      <w:rFonts w:ascii="宋体"/>
      <w:szCs w:val="21"/>
    </w:rPr>
  </w:style>
  <w:style w:type="paragraph" w:styleId="12">
    <w:name w:val="index 3"/>
    <w:basedOn w:val="1"/>
    <w:next w:val="1"/>
    <w:qFormat/>
    <w:uiPriority w:val="0"/>
    <w:pPr>
      <w:ind w:left="630" w:hanging="210"/>
      <w:jc w:val="left"/>
    </w:pPr>
    <w:rPr>
      <w:rFonts w:ascii="Calibri" w:hAnsi="Calibri"/>
      <w:sz w:val="20"/>
      <w:szCs w:val="20"/>
    </w:rPr>
  </w:style>
  <w:style w:type="paragraph" w:styleId="13">
    <w:name w:val="endnote text"/>
    <w:basedOn w:val="1"/>
    <w:semiHidden/>
    <w:qFormat/>
    <w:uiPriority w:val="0"/>
    <w:pPr>
      <w:snapToGrid w:val="0"/>
      <w:jc w:val="left"/>
    </w:pPr>
  </w:style>
  <w:style w:type="paragraph" w:styleId="14">
    <w:name w:val="Balloon Text"/>
    <w:basedOn w:val="1"/>
    <w:link w:val="134"/>
    <w:qFormat/>
    <w:uiPriority w:val="0"/>
    <w:rPr>
      <w:sz w:val="18"/>
      <w:szCs w:val="18"/>
    </w:rPr>
  </w:style>
  <w:style w:type="paragraph" w:styleId="15">
    <w:name w:val="footer"/>
    <w:basedOn w:val="1"/>
    <w:qFormat/>
    <w:uiPriority w:val="0"/>
    <w:pPr>
      <w:snapToGrid w:val="0"/>
      <w:ind w:right="210" w:rightChars="100"/>
      <w:jc w:val="right"/>
    </w:pPr>
    <w:rPr>
      <w:sz w:val="18"/>
      <w:szCs w:val="18"/>
    </w:rPr>
  </w:style>
  <w:style w:type="paragraph" w:styleId="16">
    <w:name w:val="header"/>
    <w:basedOn w:val="1"/>
    <w:qFormat/>
    <w:uiPriority w:val="0"/>
    <w:pPr>
      <w:snapToGrid w:val="0"/>
      <w:jc w:val="left"/>
    </w:pPr>
    <w:rPr>
      <w:sz w:val="18"/>
      <w:szCs w:val="18"/>
    </w:rPr>
  </w:style>
  <w:style w:type="paragraph" w:styleId="17">
    <w:name w:val="toc 1"/>
    <w:basedOn w:val="1"/>
    <w:next w:val="1"/>
    <w:qFormat/>
    <w:uiPriority w:val="39"/>
    <w:pPr>
      <w:tabs>
        <w:tab w:val="right" w:leader="dot" w:pos="9241"/>
      </w:tabs>
      <w:spacing w:before="25" w:beforeLines="25" w:after="25" w:afterLines="25"/>
      <w:jc w:val="left"/>
    </w:pPr>
    <w:rPr>
      <w:rFonts w:ascii="宋体"/>
      <w:szCs w:val="21"/>
    </w:rPr>
  </w:style>
  <w:style w:type="paragraph" w:styleId="18">
    <w:name w:val="toc 4"/>
    <w:basedOn w:val="1"/>
    <w:next w:val="1"/>
    <w:semiHidden/>
    <w:qFormat/>
    <w:uiPriority w:val="0"/>
    <w:pPr>
      <w:tabs>
        <w:tab w:val="right" w:leader="dot" w:pos="9241"/>
      </w:tabs>
      <w:ind w:firstLine="198" w:firstLineChars="200"/>
      <w:jc w:val="left"/>
    </w:pPr>
    <w:rPr>
      <w:rFonts w:ascii="宋体"/>
      <w:szCs w:val="21"/>
    </w:rPr>
  </w:style>
  <w:style w:type="paragraph" w:styleId="19">
    <w:name w:val="index heading"/>
    <w:basedOn w:val="1"/>
    <w:next w:val="20"/>
    <w:qFormat/>
    <w:uiPriority w:val="0"/>
    <w:pPr>
      <w:spacing w:before="120" w:after="120"/>
      <w:jc w:val="center"/>
    </w:pPr>
    <w:rPr>
      <w:rFonts w:ascii="Calibri" w:hAnsi="Calibri"/>
      <w:b/>
      <w:bCs/>
      <w:iCs/>
      <w:szCs w:val="20"/>
    </w:rPr>
  </w:style>
  <w:style w:type="paragraph" w:styleId="20">
    <w:name w:val="index 1"/>
    <w:basedOn w:val="1"/>
    <w:next w:val="21"/>
    <w:qFormat/>
    <w:uiPriority w:val="0"/>
    <w:pPr>
      <w:tabs>
        <w:tab w:val="right" w:leader="dot" w:pos="9299"/>
      </w:tabs>
      <w:jc w:val="left"/>
    </w:pPr>
    <w:rPr>
      <w:rFonts w:ascii="宋体"/>
      <w:szCs w:val="21"/>
    </w:rPr>
  </w:style>
  <w:style w:type="paragraph" w:customStyle="1" w:styleId="21">
    <w:name w:val="段"/>
    <w:link w:val="36"/>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22">
    <w:name w:val="footnote text"/>
    <w:basedOn w:val="1"/>
    <w:qFormat/>
    <w:uiPriority w:val="0"/>
    <w:pPr>
      <w:numPr>
        <w:ilvl w:val="0"/>
        <w:numId w:val="1"/>
      </w:numPr>
      <w:snapToGrid w:val="0"/>
      <w:jc w:val="left"/>
    </w:pPr>
    <w:rPr>
      <w:rFonts w:ascii="宋体"/>
      <w:sz w:val="18"/>
      <w:szCs w:val="18"/>
    </w:rPr>
  </w:style>
  <w:style w:type="paragraph" w:styleId="23">
    <w:name w:val="toc 6"/>
    <w:basedOn w:val="1"/>
    <w:next w:val="1"/>
    <w:semiHidden/>
    <w:qFormat/>
    <w:uiPriority w:val="0"/>
    <w:pPr>
      <w:tabs>
        <w:tab w:val="right" w:leader="dot" w:pos="9241"/>
      </w:tabs>
      <w:ind w:firstLine="403" w:firstLineChars="400"/>
      <w:jc w:val="left"/>
    </w:pPr>
    <w:rPr>
      <w:rFonts w:ascii="宋体"/>
      <w:szCs w:val="21"/>
    </w:rPr>
  </w:style>
  <w:style w:type="paragraph" w:styleId="24">
    <w:name w:val="index 7"/>
    <w:basedOn w:val="1"/>
    <w:next w:val="1"/>
    <w:qFormat/>
    <w:uiPriority w:val="0"/>
    <w:pPr>
      <w:ind w:left="1470" w:hanging="210"/>
      <w:jc w:val="left"/>
    </w:pPr>
    <w:rPr>
      <w:rFonts w:ascii="Calibri" w:hAnsi="Calibri"/>
      <w:sz w:val="20"/>
      <w:szCs w:val="20"/>
    </w:rPr>
  </w:style>
  <w:style w:type="paragraph" w:styleId="25">
    <w:name w:val="index 9"/>
    <w:basedOn w:val="1"/>
    <w:next w:val="1"/>
    <w:qFormat/>
    <w:uiPriority w:val="0"/>
    <w:pPr>
      <w:ind w:left="1890" w:hanging="210"/>
      <w:jc w:val="left"/>
    </w:pPr>
    <w:rPr>
      <w:rFonts w:ascii="Calibri" w:hAnsi="Calibri"/>
      <w:sz w:val="20"/>
      <w:szCs w:val="20"/>
    </w:rPr>
  </w:style>
  <w:style w:type="paragraph" w:styleId="26">
    <w:name w:val="toc 2"/>
    <w:basedOn w:val="1"/>
    <w:next w:val="1"/>
    <w:semiHidden/>
    <w:qFormat/>
    <w:uiPriority w:val="0"/>
    <w:pPr>
      <w:tabs>
        <w:tab w:val="right" w:leader="dot" w:pos="9241"/>
      </w:tabs>
    </w:pPr>
    <w:rPr>
      <w:rFonts w:ascii="宋体"/>
      <w:szCs w:val="21"/>
    </w:rPr>
  </w:style>
  <w:style w:type="paragraph" w:styleId="27">
    <w:name w:val="toc 9"/>
    <w:basedOn w:val="1"/>
    <w:next w:val="1"/>
    <w:semiHidden/>
    <w:qFormat/>
    <w:uiPriority w:val="0"/>
    <w:pPr>
      <w:ind w:left="1470"/>
      <w:jc w:val="left"/>
    </w:pPr>
    <w:rPr>
      <w:sz w:val="20"/>
      <w:szCs w:val="20"/>
    </w:rPr>
  </w:style>
  <w:style w:type="paragraph" w:styleId="28">
    <w:name w:val="index 2"/>
    <w:basedOn w:val="1"/>
    <w:next w:val="1"/>
    <w:qFormat/>
    <w:uiPriority w:val="0"/>
    <w:pPr>
      <w:ind w:left="420" w:hanging="210"/>
      <w:jc w:val="left"/>
    </w:pPr>
    <w:rPr>
      <w:rFonts w:ascii="Calibri" w:hAnsi="Calibri"/>
      <w:sz w:val="20"/>
      <w:szCs w:val="20"/>
    </w:rPr>
  </w:style>
  <w:style w:type="table" w:styleId="30">
    <w:name w:val="Table Grid"/>
    <w:basedOn w:val="29"/>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endnote reference"/>
    <w:semiHidden/>
    <w:qFormat/>
    <w:uiPriority w:val="0"/>
    <w:rPr>
      <w:vertAlign w:val="superscript"/>
    </w:rPr>
  </w:style>
  <w:style w:type="character" w:styleId="33">
    <w:name w:val="page number"/>
    <w:qFormat/>
    <w:uiPriority w:val="0"/>
    <w:rPr>
      <w:rFonts w:ascii="Times New Roman" w:hAnsi="Times New Roman" w:eastAsia="宋体"/>
      <w:sz w:val="18"/>
    </w:rPr>
  </w:style>
  <w:style w:type="character" w:styleId="34">
    <w:name w:val="Hyperlink"/>
    <w:qFormat/>
    <w:uiPriority w:val="99"/>
    <w:rPr>
      <w:color w:val="0000FF"/>
      <w:spacing w:val="0"/>
      <w:w w:val="100"/>
      <w:szCs w:val="21"/>
      <w:u w:val="single"/>
    </w:rPr>
  </w:style>
  <w:style w:type="character" w:styleId="35">
    <w:name w:val="footnote reference"/>
    <w:semiHidden/>
    <w:qFormat/>
    <w:uiPriority w:val="0"/>
    <w:rPr>
      <w:vertAlign w:val="superscript"/>
    </w:rPr>
  </w:style>
  <w:style w:type="character" w:customStyle="1" w:styleId="36">
    <w:name w:val="段 Char"/>
    <w:link w:val="21"/>
    <w:qFormat/>
    <w:uiPriority w:val="0"/>
    <w:rPr>
      <w:rFonts w:ascii="宋体"/>
      <w:sz w:val="21"/>
      <w:lang w:val="en-US" w:eastAsia="zh-CN" w:bidi="ar-SA"/>
    </w:rPr>
  </w:style>
  <w:style w:type="paragraph" w:customStyle="1" w:styleId="37">
    <w:name w:val="一级条标题"/>
    <w:next w:val="21"/>
    <w:qFormat/>
    <w:uiPriority w:val="0"/>
    <w:pPr>
      <w:numPr>
        <w:ilvl w:val="1"/>
        <w:numId w:val="2"/>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38">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39">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40">
    <w:name w:val="章标题"/>
    <w:next w:val="21"/>
    <w:qFormat/>
    <w:uiPriority w:val="0"/>
    <w:pPr>
      <w:numPr>
        <w:ilvl w:val="0"/>
        <w:numId w:val="2"/>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41">
    <w:name w:val="二级条标题"/>
    <w:basedOn w:val="37"/>
    <w:next w:val="21"/>
    <w:qFormat/>
    <w:uiPriority w:val="0"/>
    <w:pPr>
      <w:numPr>
        <w:ilvl w:val="2"/>
      </w:numPr>
      <w:spacing w:before="50" w:after="50"/>
      <w:outlineLvl w:val="3"/>
    </w:pPr>
  </w:style>
  <w:style w:type="paragraph" w:customStyle="1" w:styleId="42">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43">
    <w:name w:val="列项——（一级）"/>
    <w:qFormat/>
    <w:uiPriority w:val="0"/>
    <w:pPr>
      <w:widowControl w:val="0"/>
      <w:numPr>
        <w:ilvl w:val="0"/>
        <w:numId w:val="3"/>
      </w:numPr>
      <w:jc w:val="both"/>
    </w:pPr>
    <w:rPr>
      <w:rFonts w:ascii="宋体" w:hAnsi="Times New Roman" w:eastAsia="宋体" w:cs="Times New Roman"/>
      <w:sz w:val="21"/>
      <w:lang w:val="en-US" w:eastAsia="zh-CN" w:bidi="ar-SA"/>
    </w:rPr>
  </w:style>
  <w:style w:type="paragraph" w:customStyle="1" w:styleId="44">
    <w:name w:val="列项●（二级）"/>
    <w:qFormat/>
    <w:uiPriority w:val="0"/>
    <w:pPr>
      <w:numPr>
        <w:ilvl w:val="1"/>
        <w:numId w:val="3"/>
      </w:numPr>
      <w:tabs>
        <w:tab w:val="left" w:pos="840"/>
      </w:tabs>
      <w:jc w:val="both"/>
    </w:pPr>
    <w:rPr>
      <w:rFonts w:ascii="宋体" w:hAnsi="Times New Roman" w:eastAsia="宋体" w:cs="Times New Roman"/>
      <w:sz w:val="21"/>
      <w:lang w:val="en-US" w:eastAsia="zh-CN" w:bidi="ar-SA"/>
    </w:rPr>
  </w:style>
  <w:style w:type="paragraph" w:customStyle="1" w:styleId="45">
    <w:name w:val="目次、标准名称标题"/>
    <w:basedOn w:val="1"/>
    <w:next w:val="21"/>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46">
    <w:name w:val="三级条标题"/>
    <w:basedOn w:val="41"/>
    <w:next w:val="21"/>
    <w:qFormat/>
    <w:uiPriority w:val="0"/>
    <w:pPr>
      <w:numPr>
        <w:ilvl w:val="3"/>
      </w:numPr>
      <w:outlineLvl w:val="4"/>
    </w:pPr>
  </w:style>
  <w:style w:type="paragraph" w:customStyle="1" w:styleId="47">
    <w:name w:val="示例"/>
    <w:next w:val="48"/>
    <w:qFormat/>
    <w:uiPriority w:val="0"/>
    <w:pPr>
      <w:widowControl w:val="0"/>
      <w:ind w:firstLine="363"/>
      <w:jc w:val="both"/>
    </w:pPr>
    <w:rPr>
      <w:rFonts w:ascii="宋体" w:hAnsi="Times New Roman" w:eastAsia="宋体" w:cs="Times New Roman"/>
      <w:sz w:val="18"/>
      <w:szCs w:val="18"/>
      <w:lang w:val="en-US" w:eastAsia="zh-CN" w:bidi="ar-SA"/>
    </w:rPr>
  </w:style>
  <w:style w:type="paragraph" w:customStyle="1" w:styleId="48">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49">
    <w:name w:val="数字编号列项（二级）"/>
    <w:qFormat/>
    <w:uiPriority w:val="0"/>
    <w:pPr>
      <w:numPr>
        <w:ilvl w:val="1"/>
        <w:numId w:val="4"/>
      </w:numPr>
      <w:jc w:val="both"/>
    </w:pPr>
    <w:rPr>
      <w:rFonts w:ascii="宋体" w:hAnsi="Times New Roman" w:eastAsia="宋体" w:cs="Times New Roman"/>
      <w:sz w:val="21"/>
      <w:lang w:val="en-US" w:eastAsia="zh-CN" w:bidi="ar-SA"/>
    </w:rPr>
  </w:style>
  <w:style w:type="paragraph" w:customStyle="1" w:styleId="50">
    <w:name w:val="四级条标题"/>
    <w:basedOn w:val="46"/>
    <w:next w:val="21"/>
    <w:qFormat/>
    <w:uiPriority w:val="0"/>
    <w:pPr>
      <w:numPr>
        <w:ilvl w:val="4"/>
      </w:numPr>
      <w:outlineLvl w:val="5"/>
    </w:pPr>
  </w:style>
  <w:style w:type="paragraph" w:customStyle="1" w:styleId="51">
    <w:name w:val="五级条标题"/>
    <w:basedOn w:val="50"/>
    <w:next w:val="21"/>
    <w:qFormat/>
    <w:uiPriority w:val="0"/>
    <w:pPr>
      <w:numPr>
        <w:ilvl w:val="5"/>
      </w:numPr>
      <w:outlineLvl w:val="6"/>
    </w:pPr>
  </w:style>
  <w:style w:type="paragraph" w:customStyle="1" w:styleId="52">
    <w:name w:val="注："/>
    <w:next w:val="21"/>
    <w:qFormat/>
    <w:uiPriority w:val="0"/>
    <w:pPr>
      <w:widowControl w:val="0"/>
      <w:autoSpaceDE w:val="0"/>
      <w:autoSpaceDN w:val="0"/>
      <w:ind w:left="726" w:hanging="363"/>
      <w:jc w:val="both"/>
    </w:pPr>
    <w:rPr>
      <w:rFonts w:ascii="宋体" w:hAnsi="Times New Roman" w:eastAsia="宋体" w:cs="Times New Roman"/>
      <w:sz w:val="18"/>
      <w:szCs w:val="18"/>
      <w:lang w:val="en-US" w:eastAsia="zh-CN" w:bidi="ar-SA"/>
    </w:rPr>
  </w:style>
  <w:style w:type="paragraph" w:customStyle="1" w:styleId="53">
    <w:name w:val="注×："/>
    <w:qFormat/>
    <w:uiPriority w:val="0"/>
    <w:pPr>
      <w:widowControl w:val="0"/>
      <w:autoSpaceDE w:val="0"/>
      <w:autoSpaceDN w:val="0"/>
      <w:ind w:left="811" w:hanging="448"/>
      <w:jc w:val="both"/>
    </w:pPr>
    <w:rPr>
      <w:rFonts w:ascii="宋体" w:hAnsi="Times New Roman" w:eastAsia="宋体" w:cs="Times New Roman"/>
      <w:sz w:val="18"/>
      <w:szCs w:val="18"/>
      <w:lang w:val="en-US" w:eastAsia="zh-CN" w:bidi="ar-SA"/>
    </w:rPr>
  </w:style>
  <w:style w:type="paragraph" w:customStyle="1" w:styleId="54">
    <w:name w:val="字母编号列项（一级）"/>
    <w:qFormat/>
    <w:uiPriority w:val="0"/>
    <w:pPr>
      <w:numPr>
        <w:ilvl w:val="0"/>
        <w:numId w:val="4"/>
      </w:numPr>
      <w:jc w:val="both"/>
    </w:pPr>
    <w:rPr>
      <w:rFonts w:ascii="宋体" w:hAnsi="Times New Roman" w:eastAsia="宋体" w:cs="Times New Roman"/>
      <w:sz w:val="21"/>
      <w:lang w:val="en-US" w:eastAsia="zh-CN" w:bidi="ar-SA"/>
    </w:rPr>
  </w:style>
  <w:style w:type="paragraph" w:customStyle="1" w:styleId="55">
    <w:name w:val="列项◆（三级）"/>
    <w:basedOn w:val="1"/>
    <w:qFormat/>
    <w:uiPriority w:val="0"/>
    <w:pPr>
      <w:numPr>
        <w:ilvl w:val="2"/>
        <w:numId w:val="3"/>
      </w:numPr>
    </w:pPr>
    <w:rPr>
      <w:rFonts w:ascii="宋体"/>
      <w:szCs w:val="21"/>
    </w:rPr>
  </w:style>
  <w:style w:type="paragraph" w:customStyle="1" w:styleId="56">
    <w:name w:val="编号列项（三级）"/>
    <w:qFormat/>
    <w:uiPriority w:val="0"/>
    <w:pPr>
      <w:numPr>
        <w:ilvl w:val="2"/>
        <w:numId w:val="4"/>
      </w:numPr>
    </w:pPr>
    <w:rPr>
      <w:rFonts w:ascii="宋体" w:hAnsi="Times New Roman" w:eastAsia="宋体" w:cs="Times New Roman"/>
      <w:sz w:val="21"/>
      <w:lang w:val="en-US" w:eastAsia="zh-CN" w:bidi="ar-SA"/>
    </w:rPr>
  </w:style>
  <w:style w:type="paragraph" w:customStyle="1" w:styleId="57">
    <w:name w:val="示例×："/>
    <w:basedOn w:val="40"/>
    <w:qFormat/>
    <w:uiPriority w:val="0"/>
    <w:pPr>
      <w:numPr>
        <w:numId w:val="0"/>
      </w:numPr>
      <w:spacing w:before="0" w:beforeLines="0" w:after="0" w:afterLines="0"/>
      <w:ind w:firstLine="363"/>
      <w:outlineLvl w:val="9"/>
    </w:pPr>
    <w:rPr>
      <w:rFonts w:ascii="宋体" w:eastAsia="宋体"/>
      <w:sz w:val="18"/>
      <w:szCs w:val="18"/>
    </w:rPr>
  </w:style>
  <w:style w:type="paragraph" w:customStyle="1" w:styleId="58">
    <w:name w:val="二级无"/>
    <w:basedOn w:val="41"/>
    <w:qFormat/>
    <w:uiPriority w:val="0"/>
    <w:pPr>
      <w:spacing w:before="0" w:beforeLines="0" w:after="0" w:afterLines="0"/>
    </w:pPr>
    <w:rPr>
      <w:rFonts w:ascii="宋体" w:eastAsia="宋体"/>
    </w:rPr>
  </w:style>
  <w:style w:type="paragraph" w:customStyle="1" w:styleId="59">
    <w:name w:val="注：（正文）"/>
    <w:basedOn w:val="52"/>
    <w:next w:val="21"/>
    <w:qFormat/>
    <w:uiPriority w:val="0"/>
  </w:style>
  <w:style w:type="paragraph" w:customStyle="1" w:styleId="60">
    <w:name w:val="注×：（正文）"/>
    <w:qFormat/>
    <w:uiPriority w:val="0"/>
    <w:pPr>
      <w:numPr>
        <w:ilvl w:val="0"/>
        <w:numId w:val="5"/>
      </w:numPr>
      <w:jc w:val="both"/>
    </w:pPr>
    <w:rPr>
      <w:rFonts w:ascii="宋体" w:hAnsi="Times New Roman" w:eastAsia="宋体" w:cs="Times New Roman"/>
      <w:sz w:val="18"/>
      <w:szCs w:val="18"/>
      <w:lang w:val="en-US" w:eastAsia="zh-CN" w:bidi="ar-SA"/>
    </w:rPr>
  </w:style>
  <w:style w:type="paragraph" w:customStyle="1" w:styleId="61">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62">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63">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64">
    <w:name w:val="标准书眉_偶数页"/>
    <w:basedOn w:val="39"/>
    <w:next w:val="1"/>
    <w:qFormat/>
    <w:uiPriority w:val="0"/>
    <w:pPr>
      <w:jc w:val="left"/>
    </w:pPr>
  </w:style>
  <w:style w:type="paragraph" w:customStyle="1" w:styleId="65">
    <w:name w:val="标准书眉一"/>
    <w:qFormat/>
    <w:uiPriority w:val="0"/>
    <w:pPr>
      <w:jc w:val="both"/>
    </w:pPr>
    <w:rPr>
      <w:rFonts w:ascii="Times New Roman" w:hAnsi="Times New Roman" w:eastAsia="宋体" w:cs="Times New Roman"/>
      <w:lang w:val="en-US" w:eastAsia="zh-CN" w:bidi="ar-SA"/>
    </w:rPr>
  </w:style>
  <w:style w:type="paragraph" w:customStyle="1" w:styleId="66">
    <w:name w:val="参考文献"/>
    <w:basedOn w:val="1"/>
    <w:next w:val="21"/>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67">
    <w:name w:val="参考文献、索引标题"/>
    <w:basedOn w:val="1"/>
    <w:next w:val="21"/>
    <w:qFormat/>
    <w:uiPriority w:val="0"/>
    <w:pPr>
      <w:keepNext/>
      <w:pageBreakBefore/>
      <w:widowControl/>
      <w:shd w:val="clear" w:color="FFFFFF" w:fill="FFFFFF"/>
      <w:spacing w:before="640" w:after="200"/>
      <w:jc w:val="center"/>
      <w:outlineLvl w:val="0"/>
    </w:pPr>
    <w:rPr>
      <w:rFonts w:ascii="黑体" w:eastAsia="黑体"/>
      <w:kern w:val="0"/>
      <w:szCs w:val="20"/>
    </w:rPr>
  </w:style>
  <w:style w:type="character" w:customStyle="1" w:styleId="68">
    <w:name w:val="发布"/>
    <w:qFormat/>
    <w:uiPriority w:val="0"/>
    <w:rPr>
      <w:rFonts w:ascii="黑体" w:eastAsia="黑体"/>
      <w:spacing w:val="85"/>
      <w:w w:val="100"/>
      <w:position w:val="3"/>
      <w:sz w:val="28"/>
      <w:szCs w:val="28"/>
    </w:rPr>
  </w:style>
  <w:style w:type="paragraph" w:customStyle="1" w:styleId="69">
    <w:name w:val="发布部门"/>
    <w:next w:val="21"/>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70">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71">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72">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73">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74">
    <w:name w:val="封面标准英文名称"/>
    <w:basedOn w:val="73"/>
    <w:qFormat/>
    <w:uiPriority w:val="0"/>
    <w:pPr>
      <w:framePr/>
      <w:spacing w:before="370" w:line="400" w:lineRule="exact"/>
    </w:pPr>
    <w:rPr>
      <w:rFonts w:ascii="Times New Roman"/>
      <w:sz w:val="28"/>
      <w:szCs w:val="28"/>
    </w:rPr>
  </w:style>
  <w:style w:type="paragraph" w:customStyle="1" w:styleId="75">
    <w:name w:val="封面一致性程度标识"/>
    <w:basedOn w:val="74"/>
    <w:qFormat/>
    <w:uiPriority w:val="0"/>
    <w:pPr>
      <w:framePr/>
      <w:spacing w:before="440"/>
    </w:pPr>
    <w:rPr>
      <w:rFonts w:ascii="宋体" w:eastAsia="宋体"/>
    </w:rPr>
  </w:style>
  <w:style w:type="paragraph" w:customStyle="1" w:styleId="76">
    <w:name w:val="封面标准文稿类别"/>
    <w:basedOn w:val="75"/>
    <w:qFormat/>
    <w:uiPriority w:val="0"/>
    <w:pPr>
      <w:framePr/>
      <w:spacing w:after="160" w:line="240" w:lineRule="auto"/>
    </w:pPr>
    <w:rPr>
      <w:sz w:val="24"/>
    </w:rPr>
  </w:style>
  <w:style w:type="paragraph" w:customStyle="1" w:styleId="77">
    <w:name w:val="封面标准文稿编辑信息"/>
    <w:basedOn w:val="76"/>
    <w:qFormat/>
    <w:uiPriority w:val="0"/>
    <w:pPr>
      <w:framePr/>
      <w:spacing w:before="180" w:line="180" w:lineRule="exact"/>
    </w:pPr>
    <w:rPr>
      <w:sz w:val="21"/>
    </w:rPr>
  </w:style>
  <w:style w:type="paragraph" w:customStyle="1" w:styleId="78">
    <w:name w:val="封面正文"/>
    <w:qFormat/>
    <w:uiPriority w:val="0"/>
    <w:pPr>
      <w:jc w:val="both"/>
    </w:pPr>
    <w:rPr>
      <w:rFonts w:ascii="Times New Roman" w:hAnsi="Times New Roman" w:eastAsia="宋体" w:cs="Times New Roman"/>
      <w:lang w:val="en-US" w:eastAsia="zh-CN" w:bidi="ar-SA"/>
    </w:rPr>
  </w:style>
  <w:style w:type="paragraph" w:customStyle="1" w:styleId="79">
    <w:name w:val="附录标识"/>
    <w:basedOn w:val="1"/>
    <w:next w:val="21"/>
    <w:qFormat/>
    <w:uiPriority w:val="0"/>
    <w:pPr>
      <w:keepNext/>
      <w:widowControl/>
      <w:numPr>
        <w:ilvl w:val="0"/>
        <w:numId w:val="6"/>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80">
    <w:name w:val="附录标题"/>
    <w:basedOn w:val="21"/>
    <w:next w:val="21"/>
    <w:qFormat/>
    <w:uiPriority w:val="0"/>
    <w:pPr>
      <w:ind w:firstLine="0" w:firstLineChars="0"/>
      <w:jc w:val="center"/>
    </w:pPr>
    <w:rPr>
      <w:rFonts w:ascii="黑体" w:eastAsia="黑体"/>
    </w:rPr>
  </w:style>
  <w:style w:type="paragraph" w:customStyle="1" w:styleId="81">
    <w:name w:val="附录表标号"/>
    <w:basedOn w:val="1"/>
    <w:next w:val="21"/>
    <w:qFormat/>
    <w:uiPriority w:val="0"/>
    <w:pPr>
      <w:numPr>
        <w:ilvl w:val="0"/>
        <w:numId w:val="7"/>
      </w:numPr>
      <w:spacing w:line="14" w:lineRule="exact"/>
      <w:jc w:val="center"/>
      <w:outlineLvl w:val="0"/>
    </w:pPr>
    <w:rPr>
      <w:color w:val="FFFFFF"/>
    </w:rPr>
  </w:style>
  <w:style w:type="paragraph" w:customStyle="1" w:styleId="82">
    <w:name w:val="附录表标题"/>
    <w:basedOn w:val="1"/>
    <w:next w:val="21"/>
    <w:qFormat/>
    <w:uiPriority w:val="0"/>
    <w:pPr>
      <w:numPr>
        <w:ilvl w:val="1"/>
        <w:numId w:val="7"/>
      </w:numPr>
      <w:spacing w:before="50" w:beforeLines="50" w:after="50" w:afterLines="50"/>
      <w:jc w:val="center"/>
    </w:pPr>
    <w:rPr>
      <w:rFonts w:ascii="黑体" w:eastAsia="黑体"/>
      <w:szCs w:val="21"/>
    </w:rPr>
  </w:style>
  <w:style w:type="paragraph" w:customStyle="1" w:styleId="83">
    <w:name w:val="附录二级条标题"/>
    <w:basedOn w:val="1"/>
    <w:next w:val="21"/>
    <w:qFormat/>
    <w:uiPriority w:val="0"/>
    <w:pPr>
      <w:widowControl/>
      <w:numPr>
        <w:ilvl w:val="3"/>
        <w:numId w:val="6"/>
      </w:numPr>
      <w:tabs>
        <w:tab w:val="left" w:pos="360"/>
      </w:tabs>
      <w:wordWrap w:val="0"/>
      <w:overflowPunct w:val="0"/>
      <w:autoSpaceDE w:val="0"/>
      <w:autoSpaceDN w:val="0"/>
      <w:spacing w:before="50" w:beforeLines="50" w:after="50" w:afterLines="50"/>
      <w:textAlignment w:val="baseline"/>
      <w:outlineLvl w:val="3"/>
    </w:pPr>
    <w:rPr>
      <w:rFonts w:ascii="黑体" w:eastAsia="黑体"/>
      <w:kern w:val="21"/>
      <w:szCs w:val="20"/>
    </w:rPr>
  </w:style>
  <w:style w:type="paragraph" w:customStyle="1" w:styleId="84">
    <w:name w:val="附录二级无"/>
    <w:basedOn w:val="83"/>
    <w:qFormat/>
    <w:uiPriority w:val="0"/>
    <w:pPr>
      <w:tabs>
        <w:tab w:val="clear" w:pos="360"/>
      </w:tabs>
      <w:spacing w:before="0" w:beforeLines="0" w:after="0" w:afterLines="0"/>
    </w:pPr>
    <w:rPr>
      <w:rFonts w:ascii="宋体" w:eastAsia="宋体"/>
      <w:szCs w:val="21"/>
    </w:rPr>
  </w:style>
  <w:style w:type="paragraph" w:customStyle="1" w:styleId="85">
    <w:name w:val="附录公式"/>
    <w:basedOn w:val="21"/>
    <w:next w:val="21"/>
    <w:link w:val="86"/>
    <w:qFormat/>
    <w:uiPriority w:val="0"/>
  </w:style>
  <w:style w:type="character" w:customStyle="1" w:styleId="86">
    <w:name w:val="附录公式 Char"/>
    <w:basedOn w:val="36"/>
    <w:link w:val="85"/>
    <w:qFormat/>
    <w:uiPriority w:val="0"/>
    <w:rPr>
      <w:rFonts w:ascii="宋体"/>
      <w:sz w:val="21"/>
      <w:lang w:val="en-US" w:eastAsia="zh-CN" w:bidi="ar-SA"/>
    </w:rPr>
  </w:style>
  <w:style w:type="paragraph" w:customStyle="1" w:styleId="87">
    <w:name w:val="附录公式编号制表符"/>
    <w:basedOn w:val="1"/>
    <w:next w:val="21"/>
    <w:qFormat/>
    <w:uiPriority w:val="0"/>
    <w:pPr>
      <w:widowControl/>
      <w:tabs>
        <w:tab w:val="center" w:pos="4201"/>
        <w:tab w:val="right" w:leader="dot" w:pos="9298"/>
      </w:tabs>
      <w:autoSpaceDE w:val="0"/>
      <w:autoSpaceDN w:val="0"/>
    </w:pPr>
    <w:rPr>
      <w:rFonts w:ascii="宋体"/>
      <w:kern w:val="0"/>
      <w:szCs w:val="20"/>
    </w:rPr>
  </w:style>
  <w:style w:type="paragraph" w:customStyle="1" w:styleId="88">
    <w:name w:val="附录三级条标题"/>
    <w:basedOn w:val="83"/>
    <w:next w:val="21"/>
    <w:qFormat/>
    <w:uiPriority w:val="0"/>
    <w:pPr>
      <w:numPr>
        <w:ilvl w:val="4"/>
      </w:numPr>
      <w:outlineLvl w:val="4"/>
    </w:pPr>
  </w:style>
  <w:style w:type="paragraph" w:customStyle="1" w:styleId="89">
    <w:name w:val="附录三级无"/>
    <w:basedOn w:val="88"/>
    <w:qFormat/>
    <w:uiPriority w:val="0"/>
    <w:pPr>
      <w:tabs>
        <w:tab w:val="clear" w:pos="360"/>
      </w:tabs>
      <w:spacing w:before="0" w:beforeLines="0" w:after="0" w:afterLines="0"/>
    </w:pPr>
    <w:rPr>
      <w:rFonts w:ascii="宋体" w:eastAsia="宋体"/>
      <w:szCs w:val="21"/>
    </w:rPr>
  </w:style>
  <w:style w:type="paragraph" w:customStyle="1" w:styleId="90">
    <w:name w:val="附录数字编号列项（二级）"/>
    <w:qFormat/>
    <w:uiPriority w:val="0"/>
    <w:pPr>
      <w:numPr>
        <w:ilvl w:val="1"/>
        <w:numId w:val="8"/>
      </w:numPr>
    </w:pPr>
    <w:rPr>
      <w:rFonts w:ascii="宋体" w:hAnsi="Times New Roman" w:eastAsia="宋体" w:cs="Times New Roman"/>
      <w:sz w:val="21"/>
      <w:lang w:val="en-US" w:eastAsia="zh-CN" w:bidi="ar-SA"/>
    </w:rPr>
  </w:style>
  <w:style w:type="paragraph" w:customStyle="1" w:styleId="91">
    <w:name w:val="附录四级条标题"/>
    <w:basedOn w:val="88"/>
    <w:next w:val="21"/>
    <w:qFormat/>
    <w:uiPriority w:val="0"/>
    <w:pPr>
      <w:numPr>
        <w:ilvl w:val="5"/>
      </w:numPr>
      <w:outlineLvl w:val="5"/>
    </w:pPr>
  </w:style>
  <w:style w:type="paragraph" w:customStyle="1" w:styleId="92">
    <w:name w:val="附录四级无"/>
    <w:basedOn w:val="91"/>
    <w:qFormat/>
    <w:uiPriority w:val="0"/>
    <w:pPr>
      <w:tabs>
        <w:tab w:val="clear" w:pos="360"/>
      </w:tabs>
      <w:spacing w:before="0" w:beforeLines="0" w:after="0" w:afterLines="0"/>
    </w:pPr>
    <w:rPr>
      <w:rFonts w:ascii="宋体" w:eastAsia="宋体"/>
      <w:szCs w:val="21"/>
    </w:rPr>
  </w:style>
  <w:style w:type="paragraph" w:customStyle="1" w:styleId="93">
    <w:name w:val="附录图标号"/>
    <w:basedOn w:val="1"/>
    <w:qFormat/>
    <w:uiPriority w:val="0"/>
    <w:pPr>
      <w:keepNext/>
      <w:pageBreakBefore/>
      <w:widowControl/>
      <w:numPr>
        <w:ilvl w:val="0"/>
        <w:numId w:val="9"/>
      </w:numPr>
      <w:spacing w:line="14" w:lineRule="exact"/>
      <w:ind w:left="0" w:firstLine="363"/>
      <w:jc w:val="center"/>
      <w:outlineLvl w:val="0"/>
    </w:pPr>
    <w:rPr>
      <w:color w:val="FFFFFF"/>
    </w:rPr>
  </w:style>
  <w:style w:type="paragraph" w:customStyle="1" w:styleId="94">
    <w:name w:val="附录图标题"/>
    <w:basedOn w:val="1"/>
    <w:next w:val="21"/>
    <w:qFormat/>
    <w:uiPriority w:val="0"/>
    <w:pPr>
      <w:numPr>
        <w:ilvl w:val="1"/>
        <w:numId w:val="9"/>
      </w:numPr>
      <w:tabs>
        <w:tab w:val="left" w:pos="363"/>
      </w:tabs>
      <w:spacing w:before="50" w:beforeLines="50" w:after="50" w:afterLines="50"/>
      <w:ind w:left="0" w:firstLine="0"/>
      <w:jc w:val="center"/>
    </w:pPr>
    <w:rPr>
      <w:rFonts w:ascii="黑体" w:eastAsia="黑体"/>
      <w:szCs w:val="21"/>
    </w:rPr>
  </w:style>
  <w:style w:type="paragraph" w:customStyle="1" w:styleId="95">
    <w:name w:val="附录五级条标题"/>
    <w:basedOn w:val="91"/>
    <w:next w:val="21"/>
    <w:qFormat/>
    <w:uiPriority w:val="0"/>
    <w:pPr>
      <w:numPr>
        <w:ilvl w:val="6"/>
      </w:numPr>
      <w:outlineLvl w:val="6"/>
    </w:pPr>
  </w:style>
  <w:style w:type="paragraph" w:customStyle="1" w:styleId="96">
    <w:name w:val="附录五级无"/>
    <w:basedOn w:val="95"/>
    <w:qFormat/>
    <w:uiPriority w:val="0"/>
    <w:pPr>
      <w:tabs>
        <w:tab w:val="clear" w:pos="360"/>
      </w:tabs>
      <w:spacing w:before="0" w:beforeLines="0" w:after="0" w:afterLines="0"/>
    </w:pPr>
    <w:rPr>
      <w:rFonts w:ascii="宋体" w:eastAsia="宋体"/>
      <w:szCs w:val="21"/>
    </w:rPr>
  </w:style>
  <w:style w:type="paragraph" w:customStyle="1" w:styleId="97">
    <w:name w:val="附录章标题"/>
    <w:next w:val="21"/>
    <w:qFormat/>
    <w:uiPriority w:val="0"/>
    <w:pPr>
      <w:numPr>
        <w:ilvl w:val="1"/>
        <w:numId w:val="6"/>
      </w:numPr>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98">
    <w:name w:val="附录一级条标题"/>
    <w:basedOn w:val="97"/>
    <w:next w:val="21"/>
    <w:qFormat/>
    <w:uiPriority w:val="0"/>
    <w:pPr>
      <w:numPr>
        <w:ilvl w:val="2"/>
      </w:numPr>
      <w:tabs>
        <w:tab w:val="left" w:pos="360"/>
      </w:tabs>
      <w:autoSpaceDN w:val="0"/>
      <w:spacing w:before="50" w:beforeLines="50" w:after="50" w:afterLines="50"/>
      <w:outlineLvl w:val="2"/>
    </w:pPr>
  </w:style>
  <w:style w:type="paragraph" w:customStyle="1" w:styleId="99">
    <w:name w:val="附录一级无"/>
    <w:basedOn w:val="98"/>
    <w:qFormat/>
    <w:uiPriority w:val="0"/>
    <w:pPr>
      <w:tabs>
        <w:tab w:val="clear" w:pos="360"/>
      </w:tabs>
      <w:spacing w:before="0" w:beforeLines="0" w:after="0" w:afterLines="0"/>
    </w:pPr>
    <w:rPr>
      <w:rFonts w:ascii="宋体" w:eastAsia="宋体"/>
      <w:szCs w:val="21"/>
    </w:rPr>
  </w:style>
  <w:style w:type="paragraph" w:customStyle="1" w:styleId="100">
    <w:name w:val="附录字母编号列项（一级）"/>
    <w:qFormat/>
    <w:uiPriority w:val="0"/>
    <w:pPr>
      <w:numPr>
        <w:ilvl w:val="0"/>
        <w:numId w:val="8"/>
      </w:numPr>
    </w:pPr>
    <w:rPr>
      <w:rFonts w:ascii="宋体" w:hAnsi="Times New Roman" w:eastAsia="宋体" w:cs="Times New Roman"/>
      <w:sz w:val="21"/>
      <w:lang w:val="en-US" w:eastAsia="zh-CN" w:bidi="ar-SA"/>
    </w:rPr>
  </w:style>
  <w:style w:type="paragraph" w:customStyle="1" w:styleId="101">
    <w:name w:val="列项说明"/>
    <w:basedOn w:val="1"/>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102">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103">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04">
    <w:name w:val="其他标准标志"/>
    <w:basedOn w:val="61"/>
    <w:qFormat/>
    <w:uiPriority w:val="0"/>
    <w:pPr>
      <w:framePr w:w="6101" w:vAnchor="page" w:hAnchor="page" w:x="4673" w:y="942"/>
    </w:pPr>
    <w:rPr>
      <w:w w:val="130"/>
    </w:rPr>
  </w:style>
  <w:style w:type="paragraph" w:customStyle="1" w:styleId="105">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06">
    <w:name w:val="其他发布部门"/>
    <w:basedOn w:val="69"/>
    <w:qFormat/>
    <w:uiPriority w:val="0"/>
    <w:pPr>
      <w:framePr w:y="15310"/>
      <w:spacing w:line="0" w:lineRule="atLeast"/>
    </w:pPr>
    <w:rPr>
      <w:rFonts w:ascii="黑体" w:eastAsia="黑体"/>
      <w:b w:val="0"/>
    </w:rPr>
  </w:style>
  <w:style w:type="paragraph" w:customStyle="1" w:styleId="107">
    <w:name w:val="前言、引言标题"/>
    <w:next w:val="21"/>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08">
    <w:name w:val="三级无"/>
    <w:basedOn w:val="46"/>
    <w:qFormat/>
    <w:uiPriority w:val="0"/>
    <w:pPr>
      <w:spacing w:before="0" w:beforeLines="0" w:after="0" w:afterLines="0"/>
    </w:pPr>
    <w:rPr>
      <w:rFonts w:ascii="宋体" w:eastAsia="宋体"/>
    </w:rPr>
  </w:style>
  <w:style w:type="paragraph" w:customStyle="1" w:styleId="109">
    <w:name w:val="实施日期"/>
    <w:basedOn w:val="70"/>
    <w:qFormat/>
    <w:uiPriority w:val="0"/>
    <w:pPr>
      <w:framePr w:vAnchor="page" w:hAnchor="text"/>
      <w:jc w:val="right"/>
    </w:pPr>
  </w:style>
  <w:style w:type="paragraph" w:customStyle="1" w:styleId="110">
    <w:name w:val="示例后文字"/>
    <w:basedOn w:val="21"/>
    <w:next w:val="21"/>
    <w:qFormat/>
    <w:uiPriority w:val="0"/>
    <w:pPr>
      <w:ind w:firstLine="360"/>
    </w:pPr>
    <w:rPr>
      <w:sz w:val="18"/>
    </w:rPr>
  </w:style>
  <w:style w:type="paragraph" w:customStyle="1" w:styleId="111">
    <w:name w:val="首示例"/>
    <w:next w:val="21"/>
    <w:link w:val="112"/>
    <w:qFormat/>
    <w:uiPriority w:val="0"/>
    <w:pPr>
      <w:tabs>
        <w:tab w:val="left" w:pos="360"/>
      </w:tabs>
    </w:pPr>
    <w:rPr>
      <w:rFonts w:ascii="宋体" w:hAnsi="宋体" w:eastAsia="宋体" w:cs="Times New Roman"/>
      <w:kern w:val="2"/>
      <w:sz w:val="18"/>
      <w:szCs w:val="18"/>
      <w:lang w:val="en-US" w:eastAsia="zh-CN" w:bidi="ar-SA"/>
    </w:rPr>
  </w:style>
  <w:style w:type="character" w:customStyle="1" w:styleId="112">
    <w:name w:val="首示例 Char"/>
    <w:link w:val="111"/>
    <w:qFormat/>
    <w:uiPriority w:val="0"/>
    <w:rPr>
      <w:rFonts w:ascii="宋体" w:hAnsi="宋体"/>
      <w:kern w:val="2"/>
      <w:sz w:val="18"/>
      <w:szCs w:val="18"/>
    </w:rPr>
  </w:style>
  <w:style w:type="paragraph" w:customStyle="1" w:styleId="113">
    <w:name w:val="四级无"/>
    <w:basedOn w:val="50"/>
    <w:qFormat/>
    <w:uiPriority w:val="0"/>
    <w:pPr>
      <w:spacing w:before="0" w:beforeLines="0" w:after="0" w:afterLines="0"/>
    </w:pPr>
    <w:rPr>
      <w:rFonts w:ascii="宋体" w:eastAsia="宋体"/>
    </w:rPr>
  </w:style>
  <w:style w:type="paragraph" w:customStyle="1" w:styleId="114">
    <w:name w:val="条文脚注"/>
    <w:basedOn w:val="22"/>
    <w:qFormat/>
    <w:uiPriority w:val="0"/>
    <w:pPr>
      <w:numPr>
        <w:numId w:val="0"/>
      </w:numPr>
      <w:jc w:val="both"/>
    </w:pPr>
  </w:style>
  <w:style w:type="paragraph" w:customStyle="1" w:styleId="115">
    <w:name w:val="图标脚注说明"/>
    <w:basedOn w:val="21"/>
    <w:qFormat/>
    <w:uiPriority w:val="0"/>
    <w:pPr>
      <w:ind w:left="840" w:hanging="420" w:firstLineChars="0"/>
    </w:pPr>
    <w:rPr>
      <w:sz w:val="18"/>
      <w:szCs w:val="18"/>
    </w:rPr>
  </w:style>
  <w:style w:type="paragraph" w:customStyle="1" w:styleId="116">
    <w:name w:val="图表脚注说明"/>
    <w:basedOn w:val="1"/>
    <w:qFormat/>
    <w:uiPriority w:val="0"/>
    <w:pPr>
      <w:ind w:left="544" w:hanging="181"/>
    </w:pPr>
    <w:rPr>
      <w:rFonts w:ascii="宋体"/>
      <w:sz w:val="18"/>
      <w:szCs w:val="18"/>
    </w:rPr>
  </w:style>
  <w:style w:type="paragraph" w:customStyle="1" w:styleId="117">
    <w:name w:val="图的脚注"/>
    <w:next w:val="21"/>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118">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19">
    <w:name w:val="五级无"/>
    <w:basedOn w:val="51"/>
    <w:qFormat/>
    <w:uiPriority w:val="0"/>
    <w:pPr>
      <w:spacing w:before="0" w:beforeLines="0" w:after="0" w:afterLines="0"/>
    </w:pPr>
    <w:rPr>
      <w:rFonts w:ascii="宋体" w:eastAsia="宋体"/>
    </w:rPr>
  </w:style>
  <w:style w:type="paragraph" w:customStyle="1" w:styleId="120">
    <w:name w:val="一级无"/>
    <w:basedOn w:val="37"/>
    <w:qFormat/>
    <w:uiPriority w:val="0"/>
    <w:pPr>
      <w:spacing w:before="0" w:beforeLines="0" w:after="0" w:afterLines="0"/>
    </w:pPr>
    <w:rPr>
      <w:rFonts w:ascii="宋体" w:eastAsia="宋体"/>
    </w:rPr>
  </w:style>
  <w:style w:type="character" w:customStyle="1" w:styleId="121">
    <w:name w:val="已访问的超链接1"/>
    <w:qFormat/>
    <w:uiPriority w:val="0"/>
    <w:rPr>
      <w:color w:val="800080"/>
      <w:u w:val="single"/>
    </w:rPr>
  </w:style>
  <w:style w:type="paragraph" w:customStyle="1" w:styleId="122">
    <w:name w:val="正文表标题"/>
    <w:next w:val="21"/>
    <w:qFormat/>
    <w:uiPriority w:val="0"/>
    <w:p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123">
    <w:name w:val="正文公式编号制表符"/>
    <w:basedOn w:val="21"/>
    <w:next w:val="21"/>
    <w:qFormat/>
    <w:uiPriority w:val="0"/>
    <w:pPr>
      <w:ind w:firstLine="0" w:firstLineChars="0"/>
    </w:pPr>
  </w:style>
  <w:style w:type="paragraph" w:customStyle="1" w:styleId="124">
    <w:name w:val="正文图标题"/>
    <w:next w:val="21"/>
    <w:qFormat/>
    <w:uiPriority w:val="0"/>
    <w:p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125">
    <w:name w:val="终结线"/>
    <w:basedOn w:val="1"/>
    <w:qFormat/>
    <w:uiPriority w:val="0"/>
    <w:pPr>
      <w:framePr w:hSpace="181" w:vSpace="181" w:wrap="around" w:vAnchor="text" w:hAnchor="margin" w:xAlign="center" w:y="285"/>
    </w:pPr>
  </w:style>
  <w:style w:type="paragraph" w:customStyle="1" w:styleId="126">
    <w:name w:val="其他发布日期"/>
    <w:basedOn w:val="70"/>
    <w:qFormat/>
    <w:uiPriority w:val="0"/>
    <w:pPr>
      <w:framePr w:vAnchor="page" w:hAnchor="text" w:x="1419"/>
    </w:pPr>
  </w:style>
  <w:style w:type="paragraph" w:customStyle="1" w:styleId="127">
    <w:name w:val="其他实施日期"/>
    <w:basedOn w:val="109"/>
    <w:qFormat/>
    <w:uiPriority w:val="0"/>
    <w:pPr>
      <w:framePr/>
    </w:pPr>
  </w:style>
  <w:style w:type="paragraph" w:customStyle="1" w:styleId="128">
    <w:name w:val="封面标准名称2"/>
    <w:basedOn w:val="73"/>
    <w:qFormat/>
    <w:uiPriority w:val="0"/>
    <w:pPr>
      <w:framePr w:y="4469"/>
      <w:spacing w:before="630" w:beforeLines="630"/>
    </w:pPr>
  </w:style>
  <w:style w:type="paragraph" w:customStyle="1" w:styleId="129">
    <w:name w:val="封面标准英文名称2"/>
    <w:basedOn w:val="74"/>
    <w:qFormat/>
    <w:uiPriority w:val="0"/>
    <w:pPr>
      <w:framePr w:y="4469"/>
    </w:pPr>
  </w:style>
  <w:style w:type="paragraph" w:customStyle="1" w:styleId="130">
    <w:name w:val="封面一致性程度标识2"/>
    <w:basedOn w:val="75"/>
    <w:qFormat/>
    <w:uiPriority w:val="0"/>
    <w:pPr>
      <w:framePr w:y="4469"/>
    </w:pPr>
  </w:style>
  <w:style w:type="paragraph" w:customStyle="1" w:styleId="131">
    <w:name w:val="封面标准文稿类别2"/>
    <w:basedOn w:val="76"/>
    <w:qFormat/>
    <w:uiPriority w:val="0"/>
    <w:pPr>
      <w:framePr w:y="4469"/>
    </w:pPr>
  </w:style>
  <w:style w:type="paragraph" w:customStyle="1" w:styleId="132">
    <w:name w:val="封面标准文稿编辑信息2"/>
    <w:basedOn w:val="77"/>
    <w:qFormat/>
    <w:uiPriority w:val="0"/>
    <w:pPr>
      <w:framePr w:y="4469"/>
    </w:pPr>
  </w:style>
  <w:style w:type="character" w:customStyle="1" w:styleId="133">
    <w:name w:val="NormalCharacter"/>
    <w:semiHidden/>
    <w:qFormat/>
    <w:uiPriority w:val="0"/>
  </w:style>
  <w:style w:type="character" w:customStyle="1" w:styleId="134">
    <w:name w:val="批注框文本 Char"/>
    <w:link w:val="14"/>
    <w:qFormat/>
    <w:uiPriority w:val="0"/>
    <w:rPr>
      <w:kern w:val="2"/>
      <w:sz w:val="18"/>
      <w:szCs w:val="18"/>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5" Type="http://schemas.openxmlformats.org/officeDocument/2006/relationships/fontTable" Target="fontTable.xml"/><Relationship Id="rId44" Type="http://schemas.microsoft.com/office/2006/relationships/keyMapCustomizations" Target="customizations.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header" Target="header2.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4.xml"/><Relationship Id="rId14" Type="http://schemas.openxmlformats.org/officeDocument/2006/relationships/footer" Target="footer3.xml"/><Relationship Id="rId13" Type="http://schemas.openxmlformats.org/officeDocument/2006/relationships/header" Target="header9.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footer" Target="footer2.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greatwall/D:\lc\&#26666;&#27954;&#24066;&#22478;&#24066;&#31649;&#29702;&#21644;&#32508;&#21512;&#25191;&#27861;&#23616;\&#24314;&#23425;&#39551;&#31449;&#26631;&#20934;\&#24314;&#23425;&#39551;&#31449;&#24314;&#35774;&#19982;&#31649;&#29702;&#35268;&#33539;G.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1"/>
    <customShpInfo spid="_x0000_s2050"/>
    <customShpInfo spid="_x0000_s2049"/>
    <customShpInfo spid="_x0000_s2054"/>
    <customShpInfo spid="_x0000_s2053"/>
    <customShpInfo spid="_x0000_s2052"/>
    <customShpInfo spid="_x0000_s2055"/>
    <customShpInfo spid="_x0000_s2056"/>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建宁驿站建设与管理规范G</Template>
  <Pages>31</Pages>
  <Words>2419</Words>
  <Characters>13792</Characters>
  <Lines>114</Lines>
  <Paragraphs>32</Paragraphs>
  <TotalTime>0</TotalTime>
  <ScaleCrop>false</ScaleCrop>
  <LinksUpToDate>false</LinksUpToDate>
  <CharactersWithSpaces>16179</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2023-02-23T15:58:00Z</dcterms:created>
  <dcterms:modified xsi:type="dcterms:W3CDTF">2023-03-14T08:08:20Z</dcterms:modified>
  <dc:title>标准名称</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