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rPr>
        <w:t>2021</w:t>
      </w:r>
      <w:r>
        <w:rPr>
          <w:rFonts w:eastAsia="方正小标宋_GBK"/>
          <w:sz w:val="48"/>
          <w:szCs w:val="48"/>
        </w:rPr>
        <w:t>年度</w:t>
      </w:r>
      <w:r>
        <w:rPr>
          <w:rFonts w:hint="eastAsia" w:eastAsia="方正小标宋_GBK"/>
          <w:sz w:val="48"/>
          <w:szCs w:val="48"/>
        </w:rPr>
        <w:t>株洲市芦淞区枫溪街道办事处整体</w:t>
      </w:r>
      <w:r>
        <w:rPr>
          <w:rFonts w:eastAsia="方正小标宋_GBK"/>
          <w:sz w:val="48"/>
          <w:szCs w:val="48"/>
        </w:rPr>
        <w:t>支出绩效自评报告</w:t>
      </w:r>
    </w:p>
    <w:p>
      <w:pPr>
        <w:jc w:val="center"/>
        <w:rPr>
          <w:rFonts w:eastAsia="楷体_GB2312"/>
          <w:b/>
          <w:sz w:val="32"/>
          <w:szCs w:val="32"/>
        </w:rPr>
      </w:pPr>
      <w:r>
        <w:rPr>
          <w:rFonts w:hint="eastAsia" w:eastAsia="楷体_GB2312"/>
          <w:b/>
          <w:sz w:val="32"/>
          <w:szCs w:val="32"/>
        </w:rPr>
        <w:t xml:space="preserve">   </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eastAsia="黑体"/>
          <w:sz w:val="36"/>
          <w:szCs w:val="36"/>
        </w:rPr>
        <w:t>单位名称：</w:t>
      </w:r>
      <w:r>
        <w:rPr>
          <w:rFonts w:hint="eastAsia" w:eastAsia="黑体"/>
          <w:sz w:val="36"/>
          <w:szCs w:val="36"/>
        </w:rPr>
        <w:t>株洲市芦淞区枫溪街道办事处</w:t>
      </w: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640" w:firstLineChars="200"/>
        <w:rPr>
          <w:rFonts w:eastAsia="黑体"/>
          <w:sz w:val="32"/>
          <w:szCs w:val="32"/>
        </w:rPr>
      </w:pP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w:t>
      </w:r>
      <w:bookmarkStart w:id="0" w:name="_GoBack"/>
      <w:bookmarkEnd w:id="0"/>
      <w:r>
        <w:rPr>
          <w:rFonts w:eastAsia="楷体_GB2312"/>
          <w:b/>
          <w:sz w:val="32"/>
          <w:szCs w:val="32"/>
        </w:rPr>
        <w:t>基本情况</w:t>
      </w:r>
    </w:p>
    <w:p>
      <w:pPr>
        <w:pStyle w:val="7"/>
        <w:spacing w:line="600" w:lineRule="exact"/>
        <w:ind w:firstLine="640"/>
        <w:rPr>
          <w:rFonts w:ascii="Times New Roman" w:hAnsi="Times New Roman" w:eastAsia="仿宋_GB2312"/>
          <w:sz w:val="32"/>
          <w:szCs w:val="32"/>
          <w:lang w:val="zh-CN"/>
        </w:rPr>
      </w:pPr>
      <w:r>
        <w:rPr>
          <w:rFonts w:hint="eastAsia" w:ascii="Times New Roman" w:hAnsi="Times New Roman" w:eastAsia="仿宋_GB2312"/>
          <w:sz w:val="32"/>
          <w:szCs w:val="32"/>
        </w:rPr>
        <w:t>1.机构情况。我单位内</w:t>
      </w:r>
      <w:r>
        <w:rPr>
          <w:rFonts w:hint="eastAsia" w:ascii="Times New Roman" w:hAnsi="Times New Roman" w:eastAsia="仿宋_GB2312"/>
          <w:sz w:val="32"/>
          <w:szCs w:val="32"/>
          <w:lang w:val="zh-CN"/>
        </w:rPr>
        <w:t>设机构包括：党政办、党建办、城管办、公共服务办、公共安全办、生态环境办、财政所、人大、纪检办、武装部、党群服务中心、综合治理站、农业综合服务站、退役军人服务站、综合行政执法大队。</w:t>
      </w:r>
    </w:p>
    <w:p>
      <w:pPr>
        <w:pStyle w:val="7"/>
        <w:spacing w:line="600" w:lineRule="exact"/>
        <w:ind w:firstLine="640"/>
        <w:rPr>
          <w:rFonts w:ascii="Times New Roman" w:hAnsi="Times New Roman" w:eastAsia="仿宋_GB2312"/>
          <w:sz w:val="32"/>
          <w:szCs w:val="32"/>
          <w:lang w:val="zh-CN"/>
        </w:rPr>
      </w:pPr>
      <w:r>
        <w:rPr>
          <w:rFonts w:hint="eastAsia" w:ascii="Times New Roman" w:hAnsi="Times New Roman" w:eastAsia="仿宋_GB2312"/>
          <w:sz w:val="32"/>
          <w:szCs w:val="32"/>
        </w:rPr>
        <w:t>2.人员情况。2021年本单位年未实有人数38人（其中：</w:t>
      </w:r>
      <w:r>
        <w:rPr>
          <w:rFonts w:hint="eastAsia" w:ascii="Times New Roman" w:hAnsi="Times New Roman" w:eastAsia="仿宋_GB2312"/>
          <w:sz w:val="32"/>
          <w:szCs w:val="32"/>
          <w:lang w:val="zh-CN"/>
        </w:rPr>
        <w:t>行政编制</w:t>
      </w:r>
      <w:r>
        <w:rPr>
          <w:rFonts w:hint="eastAsia" w:ascii="Times New Roman" w:hAnsi="Times New Roman" w:eastAsia="仿宋_GB2312"/>
          <w:sz w:val="32"/>
          <w:szCs w:val="32"/>
        </w:rPr>
        <w:t>38</w:t>
      </w:r>
      <w:r>
        <w:rPr>
          <w:rFonts w:hint="eastAsia" w:ascii="Times New Roman" w:hAnsi="Times New Roman" w:eastAsia="仿宋_GB2312"/>
          <w:sz w:val="32"/>
          <w:szCs w:val="32"/>
          <w:lang w:val="zh-CN"/>
        </w:rPr>
        <w:t>人。）</w:t>
      </w:r>
    </w:p>
    <w:p>
      <w:pPr>
        <w:spacing w:line="600" w:lineRule="exact"/>
        <w:ind w:firstLine="643" w:firstLineChars="200"/>
        <w:rPr>
          <w:rFonts w:eastAsia="楷体_GB2312"/>
          <w:b/>
          <w:sz w:val="32"/>
          <w:szCs w:val="32"/>
        </w:rPr>
      </w:pPr>
      <w:r>
        <w:rPr>
          <w:rFonts w:eastAsia="楷体_GB2312"/>
          <w:b/>
          <w:sz w:val="32"/>
          <w:szCs w:val="32"/>
        </w:rPr>
        <w:t>（二）部门（单位）年度整体支出绩效目标，</w:t>
      </w:r>
      <w:r>
        <w:rPr>
          <w:rFonts w:hint="eastAsia" w:eastAsia="楷体_GB2312"/>
          <w:b/>
          <w:sz w:val="32"/>
          <w:szCs w:val="32"/>
        </w:rPr>
        <w:t>部门</w:t>
      </w:r>
      <w:r>
        <w:rPr>
          <w:rFonts w:eastAsia="楷体_GB2312"/>
          <w:b/>
          <w:sz w:val="32"/>
          <w:szCs w:val="32"/>
        </w:rPr>
        <w:t>专项资金绩效目标、其他项目支出（除省级专项资金以外）绩效目标</w:t>
      </w:r>
    </w:p>
    <w:p>
      <w:pPr>
        <w:pStyle w:val="7"/>
        <w:spacing w:line="600" w:lineRule="exact"/>
        <w:ind w:firstLine="640"/>
        <w:rPr>
          <w:rFonts w:ascii="仿宋" w:hAnsi="仿宋" w:eastAsia="仿宋" w:cs="仿宋"/>
          <w:sz w:val="32"/>
          <w:szCs w:val="32"/>
        </w:rPr>
      </w:pPr>
      <w:r>
        <w:rPr>
          <w:rFonts w:hint="eastAsia" w:ascii="仿宋" w:hAnsi="仿宋" w:eastAsia="仿宋" w:cs="仿宋"/>
          <w:sz w:val="32"/>
          <w:szCs w:val="32"/>
        </w:rPr>
        <w:t>1.保障机关正常运转。枫溪街道办事处属全额预算拨款的行政单位，根据编办核定，行政编制36人。</w:t>
      </w:r>
    </w:p>
    <w:p>
      <w:pPr>
        <w:pStyle w:val="7"/>
        <w:spacing w:line="600" w:lineRule="exact"/>
        <w:ind w:firstLine="640"/>
        <w:rPr>
          <w:rFonts w:ascii="仿宋" w:hAnsi="仿宋" w:eastAsia="仿宋" w:cs="仿宋"/>
          <w:sz w:val="32"/>
          <w:szCs w:val="32"/>
        </w:rPr>
      </w:pPr>
      <w:r>
        <w:rPr>
          <w:rFonts w:hint="eastAsia" w:ascii="仿宋" w:hAnsi="仿宋" w:eastAsia="仿宋" w:cs="仿宋"/>
          <w:sz w:val="32"/>
          <w:szCs w:val="32"/>
        </w:rPr>
        <w:t>2.全面履行和承担四项职能：一是促进经济发展，增加居民收入；二是强化公共服务，着力改善民生；三是加强社会管理，维护社会稳定；四是推进基层民主，促进社会和谐。</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6"/>
        <w:spacing w:line="600" w:lineRule="exact"/>
        <w:ind w:firstLine="640"/>
        <w:rPr>
          <w:rFonts w:ascii="仿宋" w:hAnsi="仿宋" w:eastAsia="仿宋" w:cs="仿宋"/>
          <w:color w:val="000000"/>
          <w:sz w:val="32"/>
          <w:szCs w:val="32"/>
        </w:rPr>
      </w:pPr>
      <w:r>
        <w:rPr>
          <w:rFonts w:hint="eastAsia" w:ascii="仿宋" w:hAnsi="仿宋" w:eastAsia="仿宋" w:cs="仿宋"/>
          <w:sz w:val="32"/>
          <w:szCs w:val="32"/>
        </w:rPr>
        <w:t>1.202</w:t>
      </w:r>
      <w:r>
        <w:rPr>
          <w:rFonts w:hint="eastAsia" w:ascii="仿宋" w:hAnsi="仿宋" w:eastAsia="仿宋" w:cs="仿宋"/>
          <w:color w:val="000000"/>
          <w:sz w:val="32"/>
          <w:szCs w:val="32"/>
        </w:rPr>
        <w:t>1年预算资金534.24万元。</w:t>
      </w:r>
    </w:p>
    <w:p>
      <w:pPr>
        <w:pStyle w:val="6"/>
        <w:spacing w:line="600" w:lineRule="exact"/>
        <w:ind w:firstLine="640"/>
        <w:rPr>
          <w:rFonts w:ascii="仿宋" w:hAnsi="仿宋" w:eastAsia="仿宋" w:cs="仿宋"/>
          <w:sz w:val="32"/>
          <w:szCs w:val="32"/>
        </w:rPr>
      </w:pPr>
      <w:r>
        <w:rPr>
          <w:rFonts w:hint="eastAsia" w:ascii="仿宋" w:hAnsi="仿宋" w:eastAsia="仿宋" w:cs="仿宋"/>
          <w:sz w:val="32"/>
          <w:szCs w:val="32"/>
        </w:rPr>
        <w:t>2.2021年度单位一般公共预算财政拨款收入1,097.94万元。</w:t>
      </w:r>
    </w:p>
    <w:p>
      <w:pPr>
        <w:spacing w:line="580" w:lineRule="exact"/>
        <w:ind w:firstLine="640" w:firstLineChars="200"/>
        <w:rPr>
          <w:rFonts w:ascii="仿宋" w:hAnsi="仿宋" w:eastAsia="仿宋" w:cs="仿宋"/>
          <w:color w:val="0000FF"/>
          <w:sz w:val="32"/>
          <w:szCs w:val="32"/>
        </w:rPr>
      </w:pPr>
      <w:r>
        <w:rPr>
          <w:rFonts w:hint="eastAsia" w:ascii="仿宋" w:hAnsi="仿宋" w:eastAsia="仿宋" w:cs="仿宋"/>
          <w:sz w:val="32"/>
          <w:szCs w:val="32"/>
        </w:rPr>
        <w:t>3.2021年度单位一般公共预算财政拨款支出1,097.94万元，其中：项目支出409.84万元，基本支出688.10万元，其中：人员经费459.53万元，公用经费228.58万元。</w:t>
      </w:r>
    </w:p>
    <w:p>
      <w:pPr>
        <w:pStyle w:val="6"/>
        <w:numPr>
          <w:ilvl w:val="0"/>
          <w:numId w:val="1"/>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1.党建0.4万元；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2.征拆专项12.66万元；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3.统计专项0.42万元；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4.交通运输专项2.45万元；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5.统计专项11.97万元；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6.建设治理经费10万元；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7.公共安全专项20.52万元；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8.文旅专项22.85万元；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9.城建、城管专项10万元；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10.建设治理经费40万元；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11.就业（劳动保障）16万元；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12.城建、城管专项37.18万元；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13.人居环境20万元；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14.城建、城管专项68.35万元；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15.村级社区运转经费14.15万元；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16.农、林、水利专项0.73万元；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17.人居环境2万元；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18.交通运输专项0.1万元；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19.美丽乡村建设5万元；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20.公益事业奖补28万元；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21.村级社区运转经费6.52万元；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22.交通运输专项5万元；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23.城建、城管专项1.27万元；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24.交通运输专项22.79万元；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25.七斗冲火车站站内封闭整治专项29.46万元；</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26.坚栗村虎形组建筑垃圾整治专项22.02万元。</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2021年度政府性基金预算财政拨款收入5.00万元；年初结转和结余0.0万元；支出5.00万元，其中基本支出0.0万元，项目支出5.00万元；年末结转和结余0.0万元。具体情况如下：</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1、城乡社区支出（类）农业土地开发资金安排的支出（款）农业土地开发资金安排的支出（项）。</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年初预算为0.0万元，支出决算为5.0万元，完成年初预算的0.0%。</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6"/>
        <w:spacing w:line="600" w:lineRule="exact"/>
        <w:ind w:firstLine="640"/>
        <w:rPr>
          <w:rFonts w:ascii="Times New Roman" w:hAnsi="Times New Roman" w:eastAsia="黑体"/>
          <w:sz w:val="32"/>
          <w:szCs w:val="32"/>
        </w:rPr>
      </w:pPr>
      <w:r>
        <w:rPr>
          <w:rFonts w:hint="eastAsia" w:ascii="仿宋_GB2312" w:hAnsi="宋体" w:eastAsia="仿宋_GB2312"/>
          <w:sz w:val="32"/>
          <w:szCs w:val="32"/>
        </w:rPr>
        <w:t>无。</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spacing w:line="600" w:lineRule="exact"/>
        <w:ind w:firstLine="640" w:firstLineChars="200"/>
        <w:rPr>
          <w:rFonts w:eastAsia="黑体"/>
          <w:sz w:val="32"/>
          <w:szCs w:val="32"/>
        </w:rPr>
      </w:pPr>
      <w:r>
        <w:rPr>
          <w:rFonts w:hint="eastAsia" w:ascii="仿宋_GB2312" w:hAnsi="宋体" w:eastAsia="仿宋_GB2312"/>
          <w:sz w:val="32"/>
          <w:szCs w:val="32"/>
        </w:rPr>
        <w:t>无。</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spacing w:line="600" w:lineRule="exact"/>
        <w:ind w:firstLine="643" w:firstLineChars="200"/>
        <w:rPr>
          <w:rFonts w:eastAsia="楷体_GB2312"/>
          <w:b/>
          <w:sz w:val="32"/>
          <w:szCs w:val="32"/>
        </w:rPr>
      </w:pPr>
      <w:r>
        <w:rPr>
          <w:rFonts w:hint="eastAsia" w:eastAsia="楷体_GB2312"/>
          <w:b/>
          <w:sz w:val="32"/>
          <w:szCs w:val="32"/>
        </w:rPr>
        <w:t>(一）部门整体支出绩效情况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一是着力加强党的建设。按质稳妥推进村（社区）“两委”换届，实现党组织书记与村（社区）主任“一肩挑”，年龄、学历“一升一降”；高标准完成</w:t>
      </w:r>
      <w:r>
        <w:rPr>
          <w:rFonts w:hint="eastAsia" w:ascii="仿宋_GB2312" w:hAnsi="仿宋" w:eastAsia="仿宋_GB2312"/>
          <w:sz w:val="32"/>
          <w:szCs w:val="32"/>
          <w:lang w:eastAsia="zh-CN"/>
        </w:rPr>
        <w:t>区第六次党代会</w:t>
      </w:r>
      <w:r>
        <w:rPr>
          <w:rFonts w:hint="eastAsia" w:ascii="仿宋_GB2312" w:hAnsi="仿宋" w:eastAsia="仿宋_GB2312"/>
          <w:sz w:val="32"/>
          <w:szCs w:val="32"/>
        </w:rPr>
        <w:t>代表选举工作，为全区唯一接受市委换届指导组现场督导的选举单位；论文《在党史学习教育中要充分发挥红色文化资源的资政育人作用——以株洲市为例》，被市委党史学习教育领导小组、市委宣传部评为建党100周年优秀论文二等奖；深挖红色资源，精心打造八叠社区党史展览室，先后接待参观近6000余人次；严要求承办全区“光荣在党五十年”纪念章颁发暨新发展党员入党宣誓仪式，高标准承办芦淞区首届“幸福邻里节”主会场，活动效果得到市区领导高度肯定及“新湖南”大篇幅推荐。全面完成街道本级、坚栗村巡察整改工作，党风廉政建设、意识形态工作均取得较好成效。</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是全力推进项目建设。按照“依法、阳光、和谐”的工作原则，全力推动项目建设工作。2021年街道共铺排项目29个，其中新启项目9个，扫尾项目9个，代征项目8个。目前，已完成项目8个。持续加大控违巡查力度，现场处置抢搭抢建36余户次、拆除各类违章建筑6120平方米、控违面积10160平方米，进一步优化了征拆环境。</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是加力开展环境整治。严格落实中央环保督导反馈问题整改要求，积极开展坚栗村虎形组偷倒垃圾问题整治；组织对“株洲市枫溪港（枫溪大道—盛世路）黑臭水体整治工程—污水排口整治工程”重新规划、设计，有效保障了居民正常生活和整治工程的顺利推进。按照陈飞副省长现场办公要求，街道垫付资金，提前20天完成京广线七斗冲火车站附近等区域铁路安全隐患整治。制定了《枫溪街道样板河2021年度创建方案》，完成老虎堤样板河改造建设；持续推进城乡环境卫生整治，切实改善居民居住环境。</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是竭力保障民生民利。高标准改造街道便民服务中心，统筹服务资源，真正实现“最多跑一次”；实施分类就业帮扶，建立就业需求信息台账，举办“春风行动”专场招聘会，为辖区居民提供就业岗位680余个；组织“点亮万家灯火”退捕渔民就业技能暨中式面点专题培训班10场，累计培训500余人次；持续推进耕地抛荒、人居环境整治等工作，完成“厕所革命”旱厕改造101户。</w:t>
      </w:r>
    </w:p>
    <w:p>
      <w:pPr>
        <w:spacing w:line="600" w:lineRule="exact"/>
        <w:ind w:firstLine="640" w:firstLineChars="200"/>
        <w:rPr>
          <w:rFonts w:eastAsia="仿宋_GB2312"/>
          <w:color w:val="000000"/>
          <w:sz w:val="32"/>
          <w:szCs w:val="32"/>
        </w:rPr>
      </w:pPr>
      <w:r>
        <w:rPr>
          <w:rFonts w:hint="eastAsia" w:ascii="仿宋_GB2312" w:hAnsi="仿宋" w:eastAsia="仿宋_GB2312"/>
          <w:sz w:val="32"/>
          <w:szCs w:val="32"/>
        </w:rPr>
        <w:t>五是悉力落实重点工作。扎实开展人大代表选举工作，辖区共15847名选民参加选举，参选率96.95%，共选出人大代表16名，实现了组织意图与群众意愿的高度统一；严格落实社保、医保、民政资金核查要求，核查各类数据16068条，追回、核查资金761308.93元，湘江村社保核查工作获省人社厅副厅长焦华芳高度肯定，核查方式在全区推广；第一时间响应区疫情防控工作领导小组安排部署，迅速布置疫情防控值守点37个，全力做好城铁南站疫情防控、重点人群管控等工作，安全有序完成三轮全员核酸检测工作，共计完成55480余人次核酸检测；稳步推进新冠肺炎疫苗接种工作，完成接种新冠肺炎疫苗34784人次；扎实做好特护期维稳工作，今年8月成功退出株洲市信访工作重点调度乡镇（街道）名单。</w:t>
      </w:r>
    </w:p>
    <w:p>
      <w:pPr>
        <w:spacing w:line="600" w:lineRule="exact"/>
        <w:ind w:firstLine="643" w:firstLineChars="200"/>
        <w:rPr>
          <w:rFonts w:eastAsia="楷体_GB2312"/>
          <w:b/>
          <w:sz w:val="32"/>
          <w:szCs w:val="32"/>
        </w:rPr>
      </w:pPr>
      <w:r>
        <w:rPr>
          <w:rFonts w:hint="eastAsia" w:eastAsia="楷体_GB2312"/>
          <w:b/>
          <w:sz w:val="32"/>
          <w:szCs w:val="32"/>
        </w:rPr>
        <w:t>（二）专项资金支出绩效情况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本部门2021年专项主要资金来源于区本级横向拨款及上级或追加拨款，没有列入年初预算，年末决算专项16个，具体情况如下：</w:t>
      </w:r>
    </w:p>
    <w:p>
      <w:pPr>
        <w:snapToGrid w:val="0"/>
        <w:spacing w:line="520" w:lineRule="exact"/>
        <w:ind w:firstLine="640" w:firstLineChars="200"/>
        <w:rPr>
          <w:rFonts w:ascii="仿宋" w:hAnsi="仿宋" w:eastAsia="仿宋" w:cs="仿宋_GB2312"/>
          <w:color w:val="000000"/>
          <w:sz w:val="32"/>
          <w:szCs w:val="32"/>
        </w:rPr>
      </w:pPr>
      <w:r>
        <w:rPr>
          <w:rFonts w:hint="eastAsia" w:ascii="仿宋_GB2312" w:hAnsi="仿宋" w:eastAsia="仿宋_GB2312"/>
          <w:sz w:val="32"/>
          <w:szCs w:val="32"/>
        </w:rPr>
        <w:t>一是党建专项，实际支出28.47元，该专项资金主要来源于支出区组织部拨入党费，该项资金支出</w:t>
      </w:r>
      <w:r>
        <w:rPr>
          <w:rFonts w:hint="eastAsia" w:ascii="仿宋" w:hAnsi="仿宋" w:eastAsia="仿宋" w:cs="仿宋_GB2312"/>
          <w:color w:val="000000"/>
          <w:sz w:val="32"/>
          <w:szCs w:val="32"/>
        </w:rPr>
        <w:t>以提高党建质量为目标，坚持做到组织生活与“不忘初心、牢记使命”主题教育和项目攻坚、抗洪抢险、人居环境、幸福芦淞等中心工作相结合，使基层党组织的战斗堡垒作用、干部的示范引领作用和党员的先锋模范作用得到充分发挥。</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二是就业-劳动保障专项，实际支出34.49万元，该项资金支出主要是为了确保公益性岗位人员的工资发放及社保缴纳。</w:t>
      </w:r>
    </w:p>
    <w:p>
      <w:pPr>
        <w:snapToGrid w:val="0"/>
        <w:spacing w:line="520" w:lineRule="exact"/>
        <w:ind w:firstLine="640" w:firstLineChars="200"/>
        <w:rPr>
          <w:rFonts w:ascii="仿宋_GB2312" w:hAnsi="仿宋" w:eastAsia="仿宋"/>
          <w:sz w:val="32"/>
          <w:szCs w:val="32"/>
        </w:rPr>
      </w:pPr>
      <w:r>
        <w:rPr>
          <w:rFonts w:hint="eastAsia" w:ascii="仿宋_GB2312" w:hAnsi="仿宋" w:eastAsia="仿宋_GB2312"/>
          <w:sz w:val="32"/>
          <w:szCs w:val="32"/>
        </w:rPr>
        <w:t>三是人居环境专项，实际支出32万元，该专项资金主要来源于项目工作经费，该项资金支出用于</w:t>
      </w:r>
      <w:r>
        <w:rPr>
          <w:rFonts w:hint="eastAsia" w:ascii="仿宋" w:hAnsi="仿宋" w:eastAsia="仿宋" w:cs="仿宋_GB2312"/>
          <w:bCs/>
          <w:color w:val="000000"/>
          <w:sz w:val="32"/>
          <w:szCs w:val="32"/>
        </w:rPr>
        <w:t>整治村容村貌、道路绿化、庭院卫生等项目，使村庄面貌焕然一新。</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是征拆专项，实际支出26.65万元，该专项资金主要来源于区征地工作协调中心拨入征拆遗留问题工作经费及国网电力株洲分公司拨入塔基永久占地及青苗补偿款。该项资金支出用于下拨村组社区征拆工作经费、村民征地补偿及青苗补偿款，保障征拆工作有序进行。</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五是城建、城管专项，实际支出116.8万元，该专项主要用于下拨村和社区道路体质改造资金、基础设施改造资金，对辖区范围内的环境卫生进行市场环卫保洁，做好马路市场改造宣传等。</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六是村级社区运转经费，实际支出21.36万元，该专项主要用于下拨村、社区村级干部、社区编制人员工资、奖金、保险补贴等。</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七是公共安全专项，实际支出20.52万元，该专项主要用于保护公共安全而进行维稳接访。</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八是公益事业奖补，实际支出28万元，该专项主要用于下拨公益事业建设奖补资金。</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九是坚栗村虎形组建筑垃圾整治专项，实际支出22.03万元，该专项主要用于虎形组垃圾检测、清运、应急处置。</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十是建设治理经费，实际支出50万元，该专项主要用于下拨村部建设经费及市级社区经费补助。</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十一是交通运输专项 ，实际支出30.34万元，该专项主要用于日常交通专项整治、湘江干线码头渡口整治、公路养护、下拨农村公路项目补助、道路拓宽工程等。</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十二是美丽乡村建设，实际支出5万元，该专项主要用于下拨美丽乡村建设资金。</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十三是农、林、水利专项，实际支出7.23万元，该专项主要用于下拨农土资金、种植结构经费等。</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十四是七斗冲火车站站内封闭整治专项，实际支出29.46万元，该专项主要用于对七斗冲火车站红线范围内拆除的设施进行补偿，并做好垃圾清运工作。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十五是统计专项，实际支出12.39万元，该专项主要用于下拨第七次人口普查工作经费及“两员”补助，保障第七次人口普查工作顺利进行。</w:t>
      </w:r>
    </w:p>
    <w:p>
      <w:pPr>
        <w:spacing w:line="600" w:lineRule="exact"/>
        <w:ind w:firstLine="640" w:firstLineChars="200"/>
        <w:rPr>
          <w:rFonts w:eastAsia="仿宋_GB2312"/>
          <w:color w:val="000000"/>
          <w:sz w:val="32"/>
          <w:szCs w:val="32"/>
        </w:rPr>
      </w:pPr>
      <w:r>
        <w:rPr>
          <w:rFonts w:hint="eastAsia" w:ascii="仿宋_GB2312" w:hAnsi="仿宋" w:eastAsia="仿宋_GB2312"/>
          <w:sz w:val="32"/>
          <w:szCs w:val="32"/>
        </w:rPr>
        <w:t>十六是文旅专项 ，实际支出22.85万元，该专项主要用于下拨乡村旅游扶持经费、文体经费、三馆开放经费。</w:t>
      </w:r>
    </w:p>
    <w:p>
      <w:pPr>
        <w:pStyle w:val="6"/>
        <w:spacing w:line="600" w:lineRule="exact"/>
        <w:ind w:firstLine="640"/>
        <w:rPr>
          <w:rFonts w:ascii="Times New Roman" w:hAnsi="Times New Roman" w:eastAsia="黑体"/>
          <w:color w:val="FF0000"/>
          <w:sz w:val="32"/>
          <w:szCs w:val="32"/>
        </w:rPr>
      </w:pPr>
      <w:r>
        <w:rPr>
          <w:rFonts w:ascii="Times New Roman" w:hAnsi="Times New Roman" w:eastAsia="黑体"/>
          <w:color w:val="FF0000"/>
          <w:sz w:val="32"/>
          <w:szCs w:val="32"/>
        </w:rPr>
        <w:t>七、存在的问题及原因分析</w:t>
      </w:r>
    </w:p>
    <w:p>
      <w:pPr>
        <w:spacing w:line="600" w:lineRule="exact"/>
        <w:ind w:firstLine="640" w:firstLineChars="200"/>
        <w:rPr>
          <w:rFonts w:hint="eastAsia" w:eastAsia="仿宋_GB2312"/>
          <w:color w:val="FF0000"/>
          <w:sz w:val="32"/>
          <w:szCs w:val="32"/>
        </w:rPr>
      </w:pPr>
      <w:r>
        <w:rPr>
          <w:rFonts w:hint="eastAsia" w:eastAsia="仿宋_GB2312"/>
          <w:color w:val="FF0000"/>
          <w:sz w:val="32"/>
          <w:szCs w:val="32"/>
        </w:rPr>
        <w:t>1.绩效评价工作业务不强，日常工作中对绩效监管不够重视，导致对完成的工作所达到的投入和产出效能不能科学的分析。</w:t>
      </w:r>
    </w:p>
    <w:p>
      <w:pPr>
        <w:spacing w:line="600" w:lineRule="exact"/>
        <w:ind w:firstLine="640" w:firstLineChars="200"/>
        <w:rPr>
          <w:rFonts w:eastAsia="仿宋_GB2312"/>
          <w:color w:val="FF0000"/>
          <w:sz w:val="32"/>
          <w:szCs w:val="32"/>
        </w:rPr>
      </w:pPr>
      <w:r>
        <w:rPr>
          <w:rFonts w:hint="eastAsia" w:eastAsia="仿宋_GB2312"/>
          <w:color w:val="FF0000"/>
          <w:sz w:val="32"/>
          <w:szCs w:val="32"/>
        </w:rPr>
        <w:t>2.预算编制工作有待细化。预算编制不够明确和细化，预算编制的合理性需要提高。预算执行力度还要进一步加强。</w:t>
      </w:r>
    </w:p>
    <w:p>
      <w:pPr>
        <w:spacing w:line="600" w:lineRule="exact"/>
        <w:ind w:firstLine="640" w:firstLineChars="200"/>
        <w:rPr>
          <w:rFonts w:eastAsia="黑体"/>
          <w:color w:val="FF0000"/>
          <w:sz w:val="32"/>
          <w:szCs w:val="32"/>
        </w:rPr>
      </w:pPr>
      <w:r>
        <w:rPr>
          <w:rFonts w:eastAsia="黑体"/>
          <w:color w:val="FF0000"/>
          <w:sz w:val="32"/>
          <w:szCs w:val="32"/>
        </w:rPr>
        <w:t>八、下一步改进措施</w:t>
      </w:r>
    </w:p>
    <w:p>
      <w:pPr>
        <w:spacing w:line="600" w:lineRule="exact"/>
        <w:ind w:firstLine="640" w:firstLineChars="200"/>
        <w:rPr>
          <w:rFonts w:eastAsia="仿宋_GB2312"/>
          <w:color w:val="FF0000"/>
          <w:sz w:val="32"/>
          <w:szCs w:val="32"/>
        </w:rPr>
      </w:pPr>
      <w:r>
        <w:rPr>
          <w:rFonts w:hint="eastAsia" w:eastAsia="仿宋_GB2312"/>
          <w:color w:val="FF0000"/>
          <w:sz w:val="32"/>
          <w:szCs w:val="32"/>
        </w:rPr>
        <w:t>1.加强组织领导，增强预算编制的准确性，提高对预算编制与执行的认识，让各部门了解绩效工作，为绩效评价工作开展创造好的条件</w:t>
      </w:r>
    </w:p>
    <w:p>
      <w:pPr>
        <w:spacing w:line="600" w:lineRule="exact"/>
        <w:ind w:firstLine="640" w:firstLineChars="200"/>
        <w:rPr>
          <w:rFonts w:eastAsia="仿宋_GB2312"/>
          <w:color w:val="FF0000"/>
          <w:sz w:val="32"/>
          <w:szCs w:val="32"/>
        </w:rPr>
      </w:pPr>
      <w:r>
        <w:rPr>
          <w:rFonts w:hint="eastAsia" w:eastAsia="仿宋_GB2312"/>
          <w:color w:val="FF0000"/>
          <w:sz w:val="32"/>
          <w:szCs w:val="32"/>
        </w:rPr>
        <w:t>2.应进一步加强绩效评价工作业务，将绩效评价作为街道开展工作的必备程序，从而使投入的资金发挥最大效益。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pStyle w:val="8"/>
        <w:spacing w:line="560" w:lineRule="exact"/>
        <w:ind w:firstLine="620" w:firstLineChars="200"/>
        <w:rPr>
          <w:rFonts w:ascii="仿宋_GB2312" w:hAnsi="宋体" w:eastAsia="仿宋_GB2312" w:cs="仿宋_GB2312"/>
          <w:sz w:val="31"/>
          <w:szCs w:val="31"/>
        </w:rPr>
      </w:pPr>
      <w:r>
        <w:rPr>
          <w:rFonts w:hint="eastAsia" w:ascii="仿宋_GB2312" w:hAnsi="宋体" w:eastAsia="仿宋_GB2312" w:cs="仿宋_GB2312"/>
          <w:sz w:val="31"/>
          <w:szCs w:val="31"/>
        </w:rPr>
        <w:t>通过绩效自评，进一步掌握了资金使用情况和取得的效果。</w:t>
      </w:r>
    </w:p>
    <w:p>
      <w:pPr>
        <w:pStyle w:val="8"/>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本单位没有独立网站，</w:t>
      </w:r>
      <w:r>
        <w:rPr>
          <w:rFonts w:hint="eastAsia" w:ascii="仿宋_GB2312" w:hAnsi="宋体" w:eastAsia="仿宋_GB2312" w:cs="仿宋_GB2312"/>
          <w:sz w:val="31"/>
          <w:szCs w:val="31"/>
        </w:rPr>
        <w:t>此次绩效自评报告将与2021年部门决算一起</w:t>
      </w:r>
      <w:r>
        <w:rPr>
          <w:rFonts w:hint="eastAsia" w:ascii="仿宋_GB2312" w:hAnsi="宋体" w:eastAsia="仿宋_GB2312"/>
          <w:sz w:val="32"/>
          <w:szCs w:val="32"/>
        </w:rPr>
        <w:t>在芦淞区政府信息公开专栏中公开，接受群众监督。</w:t>
      </w:r>
    </w:p>
    <w:p>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pPr>
        <w:spacing w:line="600" w:lineRule="exact"/>
        <w:ind w:firstLine="640" w:firstLineChars="200"/>
        <w:rPr>
          <w:rFonts w:eastAsia="仿宋_GB2312"/>
          <w:sz w:val="32"/>
          <w:szCs w:val="32"/>
        </w:rPr>
      </w:pPr>
      <w:r>
        <w:rPr>
          <w:rFonts w:hint="eastAsia" w:eastAsia="仿宋_GB2312"/>
          <w:sz w:val="32"/>
          <w:szCs w:val="32"/>
        </w:rPr>
        <w:t>无</w:t>
      </w:r>
    </w:p>
    <w:p>
      <w:pPr>
        <w:spacing w:line="600" w:lineRule="exact"/>
        <w:rPr>
          <w:rFonts w:eastAsia="仿宋_GB2312"/>
          <w:kern w:val="0"/>
          <w:sz w:val="32"/>
          <w:szCs w:val="32"/>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wZGVjMjRiMjI1ODA0ZDFlNjdlNTY2ZjczZjQ4ZDMifQ=="/>
  </w:docVars>
  <w:rsids>
    <w:rsidRoot w:val="00223FBD"/>
    <w:rsid w:val="00004E70"/>
    <w:rsid w:val="00207FA3"/>
    <w:rsid w:val="00223FBD"/>
    <w:rsid w:val="005A433C"/>
    <w:rsid w:val="008C62A7"/>
    <w:rsid w:val="00A56C8A"/>
    <w:rsid w:val="00D5092F"/>
    <w:rsid w:val="00E55161"/>
    <w:rsid w:val="00F47A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61A4D"/>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5D56FC"/>
    <w:rsid w:val="1A76103C"/>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6052A1"/>
    <w:rsid w:val="3B9B7004"/>
    <w:rsid w:val="3BCF551C"/>
    <w:rsid w:val="3C87456A"/>
    <w:rsid w:val="3CA231F4"/>
    <w:rsid w:val="3CDC3CFC"/>
    <w:rsid w:val="3CFC20B7"/>
    <w:rsid w:val="3E124710"/>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162E80"/>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9DF6808"/>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655B3D"/>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0F1208"/>
    <w:rsid w:val="5A3C1A0D"/>
    <w:rsid w:val="5A6A2A29"/>
    <w:rsid w:val="5A9244F7"/>
    <w:rsid w:val="5AF97A89"/>
    <w:rsid w:val="5B352171"/>
    <w:rsid w:val="5B514882"/>
    <w:rsid w:val="5B5C757D"/>
    <w:rsid w:val="5B6B124E"/>
    <w:rsid w:val="5B830B32"/>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9EF60FB"/>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eastAsia="仿宋_GB2312"/>
      <w:sz w:val="32"/>
      <w:szCs w:val="32"/>
    </w:r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customStyle="1" w:styleId="6">
    <w:name w:val="列出段落1"/>
    <w:basedOn w:val="1"/>
    <w:qFormat/>
    <w:uiPriority w:val="99"/>
    <w:pPr>
      <w:ind w:firstLine="420" w:firstLineChars="200"/>
    </w:pPr>
    <w:rPr>
      <w:rFonts w:ascii="Calibri" w:hAnsi="Calibri"/>
      <w:szCs w:val="22"/>
    </w:rPr>
  </w:style>
  <w:style w:type="paragraph" w:customStyle="1" w:styleId="7">
    <w:name w:val="_Style 3"/>
    <w:basedOn w:val="1"/>
    <w:qFormat/>
    <w:uiPriority w:val="99"/>
    <w:pPr>
      <w:ind w:firstLine="420" w:firstLineChars="200"/>
    </w:pPr>
    <w:rPr>
      <w:rFonts w:ascii="Calibri" w:hAnsi="Calibri"/>
      <w:szCs w:val="2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3571</Words>
  <Characters>3891</Characters>
  <Lines>28</Lines>
  <Paragraphs>7</Paragraphs>
  <TotalTime>34</TotalTime>
  <ScaleCrop>false</ScaleCrop>
  <LinksUpToDate>false</LinksUpToDate>
  <CharactersWithSpaces>3896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2023-01-12T02:33:34Z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46B1E17AE7754E13BA78DBD53DD7830E</vt:lpwstr>
  </property>
</Properties>
</file>