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eastAsia="方正小标宋_GBK"/>
          <w:sz w:val="48"/>
          <w:szCs w:val="48"/>
          <w:lang w:val="en-US" w:eastAsia="zh-CN"/>
        </w:rPr>
        <w:t>2021</w:t>
      </w:r>
      <w:r>
        <w:rPr>
          <w:rFonts w:eastAsia="方正小标宋_GBK"/>
          <w:sz w:val="48"/>
          <w:szCs w:val="48"/>
        </w:rPr>
        <w:t>年度</w:t>
      </w:r>
      <w:r>
        <w:rPr>
          <w:rFonts w:hint="eastAsia" w:eastAsia="方正小标宋_GBK"/>
          <w:sz w:val="48"/>
          <w:szCs w:val="48"/>
          <w:lang w:eastAsia="zh-CN"/>
        </w:rPr>
        <w:t>株洲市芦淞区大京风景名胜区管理中心整体</w:t>
      </w:r>
      <w:r>
        <w:rPr>
          <w:rFonts w:eastAsia="方正小标宋_GBK"/>
          <w:sz w:val="48"/>
          <w:szCs w:val="48"/>
        </w:rPr>
        <w:t>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bookmarkStart w:id="0" w:name="_GoBack"/>
      <w:bookmarkEnd w:id="0"/>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jc w:val="both"/>
        <w:rPr>
          <w:rFonts w:eastAsia="黑体"/>
          <w:sz w:val="44"/>
          <w:szCs w:val="44"/>
        </w:rPr>
      </w:pPr>
    </w:p>
    <w:p>
      <w:pPr>
        <w:jc w:val="both"/>
        <w:rPr>
          <w:rFonts w:eastAsia="黑体"/>
          <w:sz w:val="44"/>
          <w:szCs w:val="44"/>
        </w:rPr>
      </w:pP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rPr>
          <w:rFonts w:eastAsia="黑体"/>
          <w:sz w:val="32"/>
          <w:szCs w:val="32"/>
        </w:rPr>
      </w:pPr>
      <w:r>
        <w:rPr>
          <w:rFonts w:eastAsia="黑体"/>
          <w:sz w:val="32"/>
          <w:szCs w:val="32"/>
        </w:rPr>
        <w:t>一、基本情况</w:t>
      </w:r>
    </w:p>
    <w:p>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lang w:eastAsia="zh-CN"/>
        </w:rPr>
        <w:t>单位</w:t>
      </w:r>
      <w:r>
        <w:rPr>
          <w:rFonts w:eastAsia="楷体_GB2312"/>
          <w:b/>
          <w:sz w:val="32"/>
          <w:szCs w:val="32"/>
        </w:rPr>
        <w:t>基本情况</w:t>
      </w:r>
    </w:p>
    <w:p>
      <w:pPr>
        <w:spacing w:line="60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1.机构情况。内设科室3个，分别为：办公室、景区管理股、开发建设股。</w:t>
      </w:r>
    </w:p>
    <w:p>
      <w:pPr>
        <w:spacing w:line="60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2.人员情况。 202</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年本单位共有编制人数</w:t>
      </w: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rPr>
        <w:t>人，实有人数</w:t>
      </w: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rPr>
        <w:t>人。</w:t>
      </w:r>
    </w:p>
    <w:p>
      <w:pPr>
        <w:spacing w:line="600" w:lineRule="exact"/>
        <w:ind w:firstLine="643" w:firstLineChars="200"/>
        <w:rPr>
          <w:rFonts w:eastAsia="楷体_GB2312"/>
          <w:b/>
          <w:sz w:val="32"/>
          <w:szCs w:val="32"/>
        </w:rPr>
      </w:pPr>
      <w:r>
        <w:rPr>
          <w:rFonts w:eastAsia="楷体_GB2312"/>
          <w:b/>
          <w:sz w:val="32"/>
          <w:szCs w:val="32"/>
        </w:rPr>
        <w:t>（二）单位年度整体支出绩效目标，</w:t>
      </w:r>
      <w:r>
        <w:rPr>
          <w:rFonts w:hint="eastAsia" w:eastAsia="楷体_GB2312"/>
          <w:b/>
          <w:sz w:val="32"/>
          <w:szCs w:val="32"/>
          <w:lang w:eastAsia="zh-CN"/>
        </w:rPr>
        <w:t>部门</w:t>
      </w:r>
      <w:r>
        <w:rPr>
          <w:rFonts w:eastAsia="楷体_GB2312"/>
          <w:b/>
          <w:sz w:val="32"/>
          <w:szCs w:val="32"/>
        </w:rPr>
        <w:t>专项资金绩效目标、其他项目支出绩效目标</w:t>
      </w:r>
    </w:p>
    <w:p>
      <w:pPr>
        <w:spacing w:line="600" w:lineRule="exact"/>
        <w:ind w:firstLine="640"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紧紧围绕职能，进一步优化景区环境，改善旅游基础设施，提高管理和接待能力，提升旅游品质；积极做好招商引资服务工作，根据区委区政府对大京整体开发的决策做好项目落地各项工作；3A级旅游景区复核和省级风景名胜区检查；继续做好各项常规工作，确保高质量完成区委区政府交办的各项工作指标。</w:t>
      </w:r>
    </w:p>
    <w:p>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4"/>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4"/>
        <w:spacing w:line="600" w:lineRule="exact"/>
        <w:ind w:firstLine="643"/>
        <w:rPr>
          <w:rFonts w:hint="default" w:eastAsia="仿宋" w:cs="Times New Roman"/>
          <w:color w:val="000000"/>
          <w:sz w:val="32"/>
          <w:szCs w:val="32"/>
          <w:lang w:val="en-US" w:eastAsia="zh-CN"/>
        </w:rPr>
      </w:pPr>
      <w:r>
        <w:rPr>
          <w:rFonts w:hint="eastAsia" w:eastAsia="仿宋" w:cs="Times New Roman"/>
          <w:color w:val="000000"/>
          <w:sz w:val="32"/>
          <w:szCs w:val="32"/>
          <w:lang w:val="en-US" w:eastAsia="zh-CN"/>
        </w:rPr>
        <w:t>1、</w:t>
      </w:r>
      <w:r>
        <w:rPr>
          <w:rFonts w:eastAsia="仿宋" w:cs="Times New Roman"/>
          <w:color w:val="000000"/>
          <w:sz w:val="32"/>
          <w:szCs w:val="32"/>
        </w:rPr>
        <w:t>202</w:t>
      </w:r>
      <w:r>
        <w:rPr>
          <w:rFonts w:hint="eastAsia" w:eastAsia="仿宋" w:cs="Times New Roman"/>
          <w:color w:val="000000"/>
          <w:sz w:val="32"/>
          <w:szCs w:val="32"/>
          <w:lang w:val="en-US" w:eastAsia="zh-CN"/>
        </w:rPr>
        <w:t>1</w:t>
      </w:r>
      <w:r>
        <w:rPr>
          <w:rFonts w:eastAsia="仿宋" w:cs="Times New Roman"/>
          <w:color w:val="000000"/>
          <w:sz w:val="32"/>
          <w:szCs w:val="32"/>
        </w:rPr>
        <w:t>年预算资金</w:t>
      </w:r>
      <w:r>
        <w:rPr>
          <w:rFonts w:hint="eastAsia" w:eastAsia="仿宋" w:cs="Times New Roman"/>
          <w:color w:val="000000"/>
          <w:sz w:val="32"/>
          <w:szCs w:val="32"/>
          <w:lang w:val="en-US" w:eastAsia="zh-CN"/>
        </w:rPr>
        <w:t>120.98万元。</w:t>
      </w:r>
    </w:p>
    <w:p>
      <w:pPr>
        <w:pStyle w:val="4"/>
        <w:spacing w:line="600" w:lineRule="exact"/>
        <w:ind w:firstLine="643"/>
        <w:rPr>
          <w:rFonts w:hint="default" w:eastAsia="仿宋" w:cs="Times New Roman"/>
          <w:color w:val="000000"/>
          <w:sz w:val="32"/>
          <w:szCs w:val="32"/>
          <w:lang w:val="en-US" w:eastAsia="zh-CN"/>
        </w:rPr>
      </w:pPr>
      <w:r>
        <w:rPr>
          <w:rFonts w:hint="eastAsia" w:eastAsia="仿宋" w:cs="Times New Roman"/>
          <w:color w:val="000000"/>
          <w:sz w:val="32"/>
          <w:szCs w:val="32"/>
          <w:lang w:val="en-US" w:eastAsia="zh-CN"/>
        </w:rPr>
        <w:t>2、2021年度</w:t>
      </w:r>
      <w:r>
        <w:rPr>
          <w:rFonts w:eastAsia="仿宋" w:cs="Times New Roman"/>
          <w:color w:val="000000"/>
          <w:sz w:val="32"/>
          <w:szCs w:val="32"/>
        </w:rPr>
        <w:t>单位</w:t>
      </w:r>
      <w:r>
        <w:rPr>
          <w:rFonts w:hint="eastAsia" w:eastAsia="仿宋" w:cs="Times New Roman"/>
          <w:color w:val="000000"/>
          <w:sz w:val="32"/>
          <w:szCs w:val="32"/>
        </w:rPr>
        <w:t>一般公共预算财政拨款</w:t>
      </w:r>
      <w:r>
        <w:rPr>
          <w:rFonts w:eastAsia="仿宋" w:cs="Times New Roman"/>
          <w:color w:val="000000"/>
          <w:sz w:val="32"/>
          <w:szCs w:val="32"/>
        </w:rPr>
        <w:t>收入</w:t>
      </w:r>
      <w:r>
        <w:rPr>
          <w:rFonts w:hint="eastAsia" w:eastAsia="仿宋" w:cs="Times New Roman"/>
          <w:color w:val="000000"/>
          <w:sz w:val="32"/>
          <w:szCs w:val="32"/>
        </w:rPr>
        <w:t>11</w:t>
      </w:r>
      <w:r>
        <w:rPr>
          <w:rFonts w:hint="eastAsia" w:eastAsia="仿宋" w:cs="Times New Roman"/>
          <w:color w:val="000000"/>
          <w:sz w:val="32"/>
          <w:szCs w:val="32"/>
          <w:lang w:val="en-US" w:eastAsia="zh-CN"/>
        </w:rPr>
        <w:t>2.64万元。</w:t>
      </w:r>
    </w:p>
    <w:p>
      <w:pPr>
        <w:pStyle w:val="4"/>
        <w:spacing w:line="600" w:lineRule="exact"/>
        <w:ind w:firstLine="643"/>
        <w:rPr>
          <w:rFonts w:hint="eastAsia" w:eastAsia="仿宋" w:cs="Times New Roman"/>
          <w:color w:val="000000"/>
          <w:sz w:val="32"/>
          <w:szCs w:val="32"/>
          <w:lang w:val="en-US" w:eastAsia="zh-CN"/>
        </w:rPr>
      </w:pPr>
      <w:r>
        <w:rPr>
          <w:rFonts w:eastAsia="仿宋" w:cs="Times New Roman"/>
          <w:color w:val="000000"/>
          <w:sz w:val="32"/>
          <w:szCs w:val="32"/>
        </w:rPr>
        <w:t>3</w:t>
      </w:r>
      <w:r>
        <w:rPr>
          <w:rFonts w:hint="eastAsia" w:eastAsia="仿宋" w:cs="Times New Roman"/>
          <w:color w:val="000000"/>
          <w:sz w:val="32"/>
          <w:szCs w:val="32"/>
          <w:lang w:eastAsia="zh-CN"/>
        </w:rPr>
        <w:t>、</w:t>
      </w:r>
      <w:r>
        <w:rPr>
          <w:rFonts w:hint="eastAsia" w:eastAsia="仿宋" w:cs="Times New Roman"/>
          <w:color w:val="000000"/>
          <w:sz w:val="32"/>
          <w:szCs w:val="32"/>
          <w:lang w:val="en-US" w:eastAsia="zh-CN"/>
        </w:rPr>
        <w:t>2021年度</w:t>
      </w:r>
      <w:r>
        <w:rPr>
          <w:rFonts w:eastAsia="仿宋" w:cs="Times New Roman"/>
          <w:color w:val="000000"/>
          <w:sz w:val="32"/>
          <w:szCs w:val="32"/>
        </w:rPr>
        <w:t>单位</w:t>
      </w:r>
      <w:r>
        <w:rPr>
          <w:rFonts w:hint="eastAsia" w:eastAsia="仿宋" w:cs="Times New Roman"/>
          <w:color w:val="000000"/>
          <w:sz w:val="32"/>
          <w:szCs w:val="32"/>
        </w:rPr>
        <w:t>一般公共预算财政拨款</w:t>
      </w:r>
      <w:r>
        <w:rPr>
          <w:rFonts w:hint="eastAsia" w:eastAsia="仿宋" w:cs="Times New Roman"/>
          <w:color w:val="000000"/>
          <w:sz w:val="32"/>
          <w:szCs w:val="32"/>
          <w:lang w:eastAsia="zh-CN"/>
        </w:rPr>
        <w:t>支出</w:t>
      </w:r>
      <w:r>
        <w:rPr>
          <w:rFonts w:hint="eastAsia" w:eastAsia="仿宋" w:cs="Times New Roman"/>
          <w:color w:val="000000"/>
          <w:sz w:val="32"/>
          <w:szCs w:val="32"/>
        </w:rPr>
        <w:t>11</w:t>
      </w:r>
      <w:r>
        <w:rPr>
          <w:rFonts w:hint="eastAsia" w:eastAsia="仿宋" w:cs="Times New Roman"/>
          <w:color w:val="000000"/>
          <w:sz w:val="32"/>
          <w:szCs w:val="32"/>
          <w:lang w:val="en-US" w:eastAsia="zh-CN"/>
        </w:rPr>
        <w:t>2.64万元，</w:t>
      </w:r>
      <w:r>
        <w:rPr>
          <w:rFonts w:eastAsia="仿宋" w:cs="Times New Roman"/>
          <w:color w:val="000000"/>
          <w:sz w:val="32"/>
          <w:szCs w:val="32"/>
        </w:rPr>
        <w:t>其中：项目支出</w:t>
      </w:r>
      <w:r>
        <w:rPr>
          <w:rFonts w:hint="eastAsia" w:eastAsia="仿宋" w:cs="Times New Roman"/>
          <w:color w:val="000000"/>
          <w:sz w:val="32"/>
          <w:szCs w:val="32"/>
          <w:lang w:val="en-US" w:eastAsia="zh-CN"/>
        </w:rPr>
        <w:t>26.77</w:t>
      </w:r>
      <w:r>
        <w:rPr>
          <w:rFonts w:eastAsia="仿宋" w:cs="Times New Roman"/>
          <w:color w:val="000000"/>
          <w:sz w:val="32"/>
          <w:szCs w:val="32"/>
        </w:rPr>
        <w:t>万元，基本支出</w:t>
      </w:r>
      <w:r>
        <w:rPr>
          <w:rFonts w:hint="eastAsia" w:eastAsia="仿宋" w:cs="Times New Roman"/>
          <w:color w:val="000000"/>
          <w:sz w:val="32"/>
          <w:szCs w:val="32"/>
          <w:lang w:val="en-US" w:eastAsia="zh-CN"/>
        </w:rPr>
        <w:t>85.87</w:t>
      </w:r>
      <w:r>
        <w:rPr>
          <w:rFonts w:eastAsia="仿宋" w:cs="Times New Roman"/>
          <w:color w:val="000000"/>
          <w:sz w:val="32"/>
          <w:szCs w:val="32"/>
        </w:rPr>
        <w:t>万元，其中：人员经费</w:t>
      </w:r>
      <w:r>
        <w:rPr>
          <w:rFonts w:hint="eastAsia" w:eastAsia="仿宋" w:cs="Times New Roman"/>
          <w:color w:val="000000"/>
          <w:sz w:val="32"/>
          <w:szCs w:val="32"/>
          <w:lang w:val="en-US" w:eastAsia="zh-CN"/>
        </w:rPr>
        <w:t>73.15</w:t>
      </w:r>
      <w:r>
        <w:rPr>
          <w:rFonts w:eastAsia="仿宋" w:cs="Times New Roman"/>
          <w:color w:val="000000"/>
          <w:sz w:val="32"/>
          <w:szCs w:val="32"/>
        </w:rPr>
        <w:t>万元，公用经费</w:t>
      </w:r>
      <w:r>
        <w:rPr>
          <w:rFonts w:hint="eastAsia" w:eastAsia="仿宋" w:cs="Times New Roman"/>
          <w:color w:val="000000"/>
          <w:sz w:val="32"/>
          <w:szCs w:val="32"/>
          <w:lang w:val="en-US" w:eastAsia="zh-CN"/>
        </w:rPr>
        <w:t>12.72万</w:t>
      </w:r>
      <w:r>
        <w:rPr>
          <w:rFonts w:eastAsia="仿宋" w:cs="Times New Roman"/>
          <w:color w:val="000000"/>
          <w:sz w:val="32"/>
          <w:szCs w:val="32"/>
        </w:rPr>
        <w:t>元。</w:t>
      </w:r>
    </w:p>
    <w:p>
      <w:pPr>
        <w:pStyle w:val="4"/>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pPr>
        <w:pStyle w:val="4"/>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1、3A级旅游景区复核项目支出19.07万元；2、物管费项目支出7.7万元。</w:t>
      </w:r>
    </w:p>
    <w:p>
      <w:pPr>
        <w:pStyle w:val="4"/>
        <w:numPr>
          <w:ilvl w:val="0"/>
          <w:numId w:val="2"/>
        </w:numPr>
        <w:spacing w:line="60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pPr>
        <w:pStyle w:val="4"/>
        <w:numPr>
          <w:ilvl w:val="0"/>
          <w:numId w:val="0"/>
        </w:numPr>
        <w:spacing w:line="600" w:lineRule="exact"/>
        <w:ind w:firstLine="960" w:firstLineChars="300"/>
        <w:rPr>
          <w:rFonts w:hint="eastAsia" w:ascii="Times New Roman" w:hAnsi="Times New Roman" w:eastAsia="黑体"/>
          <w:sz w:val="32"/>
          <w:szCs w:val="32"/>
          <w:lang w:eastAsia="zh-CN"/>
        </w:rPr>
      </w:pPr>
      <w:r>
        <w:rPr>
          <w:rFonts w:hint="eastAsia" w:ascii="仿宋" w:hAnsi="仿宋" w:eastAsia="仿宋" w:cs="仿宋"/>
          <w:sz w:val="32"/>
          <w:szCs w:val="32"/>
          <w:lang w:eastAsia="zh-CN"/>
        </w:rPr>
        <w:t>无</w:t>
      </w:r>
    </w:p>
    <w:p>
      <w:pPr>
        <w:pStyle w:val="4"/>
        <w:numPr>
          <w:ilvl w:val="0"/>
          <w:numId w:val="2"/>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4"/>
        <w:numPr>
          <w:ilvl w:val="0"/>
          <w:numId w:val="0"/>
        </w:numPr>
        <w:spacing w:line="600" w:lineRule="exact"/>
        <w:ind w:firstLine="960" w:firstLineChars="3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pStyle w:val="4"/>
        <w:numPr>
          <w:ilvl w:val="0"/>
          <w:numId w:val="2"/>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4"/>
        <w:numPr>
          <w:ilvl w:val="0"/>
          <w:numId w:val="0"/>
        </w:numPr>
        <w:spacing w:line="600" w:lineRule="exact"/>
        <w:ind w:firstLine="960" w:firstLineChars="3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numPr>
          <w:ilvl w:val="0"/>
          <w:numId w:val="2"/>
        </w:numPr>
        <w:spacing w:line="600" w:lineRule="exact"/>
        <w:ind w:left="0" w:leftChars="0" w:firstLine="640" w:firstLineChars="200"/>
        <w:rPr>
          <w:rFonts w:eastAsia="黑体"/>
          <w:sz w:val="32"/>
          <w:szCs w:val="32"/>
        </w:rPr>
      </w:pPr>
      <w:r>
        <w:rPr>
          <w:rFonts w:hint="eastAsia" w:eastAsia="黑体"/>
          <w:sz w:val="32"/>
          <w:szCs w:val="32"/>
          <w:lang w:eastAsia="zh-CN"/>
        </w:rPr>
        <w:t>资金使用及</w:t>
      </w:r>
      <w:r>
        <w:rPr>
          <w:rFonts w:eastAsia="黑体"/>
          <w:sz w:val="32"/>
          <w:szCs w:val="32"/>
        </w:rPr>
        <w:t>绩效情况</w:t>
      </w:r>
    </w:p>
    <w:p>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pPr>
        <w:spacing w:line="600" w:lineRule="exact"/>
        <w:ind w:firstLine="640" w:firstLineChars="200"/>
        <w:rPr>
          <w:rFonts w:hint="eastAsia" w:eastAsia="仿宋_GB2312"/>
          <w:color w:val="000000"/>
          <w:sz w:val="32"/>
          <w:szCs w:val="32"/>
        </w:rPr>
      </w:pPr>
      <w:r>
        <w:rPr>
          <w:rFonts w:hint="eastAsia" w:eastAsia="仿宋_GB2312"/>
          <w:color w:val="000000"/>
          <w:sz w:val="32"/>
          <w:szCs w:val="32"/>
          <w:lang w:eastAsia="zh-CN"/>
        </w:rPr>
        <w:t>一、</w:t>
      </w:r>
      <w:r>
        <w:rPr>
          <w:rFonts w:hint="eastAsia" w:eastAsia="仿宋_GB2312"/>
          <w:color w:val="000000"/>
          <w:sz w:val="32"/>
          <w:szCs w:val="32"/>
        </w:rPr>
        <w:t>党建工作有新格局。一是扎实开展</w:t>
      </w:r>
      <w:r>
        <w:rPr>
          <w:rFonts w:hint="eastAsia" w:eastAsia="仿宋_GB2312"/>
          <w:color w:val="000000"/>
          <w:sz w:val="32"/>
          <w:szCs w:val="32"/>
          <w:lang w:eastAsia="zh-CN"/>
        </w:rPr>
        <w:t>党史学习教育</w:t>
      </w:r>
      <w:r>
        <w:rPr>
          <w:rFonts w:hint="eastAsia" w:eastAsia="仿宋_GB2312"/>
          <w:color w:val="000000"/>
          <w:sz w:val="32"/>
          <w:szCs w:val="32"/>
        </w:rPr>
        <w:t>，成立了以党组书记为组长的党史学习教育领导小组，结合实际制定了切实可行的实施方案；开展了集中学习专题研讨5次，邀请区委宣讲团教授开展了专题宣讲2次，召开了专题组织生活会1次，让党史学习教育走深走实、入脑入心；结合党员干部进社区开展了6次志愿服务活动，切实为群众解决了“一号码头”油化、美化净化京水湖、平安夜巡、防止青少年学生溺水、党员示范岗建设、景区微信公众号建设、走访慰问活动等11件实事。二是严肃党内组织生活，结合主题党日活动开展了习近平新时代中国特色社会主义思想和市第十三次党代会、区第六次党代会等重要会议精神大学习、大讨论，全年集中学习12次，交流研讨8次。</w:t>
      </w:r>
    </w:p>
    <w:p>
      <w:pPr>
        <w:spacing w:line="600" w:lineRule="exact"/>
        <w:ind w:firstLine="640" w:firstLineChars="200"/>
        <w:rPr>
          <w:rFonts w:hint="eastAsia" w:eastAsia="仿宋_GB2312"/>
          <w:color w:val="000000"/>
          <w:sz w:val="32"/>
          <w:szCs w:val="32"/>
        </w:rPr>
      </w:pPr>
      <w:r>
        <w:rPr>
          <w:rFonts w:hint="eastAsia" w:eastAsia="仿宋_GB2312"/>
          <w:color w:val="000000"/>
          <w:sz w:val="32"/>
          <w:szCs w:val="32"/>
          <w:lang w:eastAsia="zh-CN"/>
        </w:rPr>
        <w:t>二、</w:t>
      </w:r>
      <w:r>
        <w:rPr>
          <w:rFonts w:hint="eastAsia" w:eastAsia="仿宋_GB2312"/>
          <w:color w:val="000000"/>
          <w:sz w:val="32"/>
          <w:szCs w:val="32"/>
        </w:rPr>
        <w:t>安全管理有新提升。制定了防火、防汛、防疫、防溺水等安全生产制度和应急预案，组织景区各经营单位开展安全生产培训班4场，培训500多人次，开展各种应急演练3次。设立了游客中心，卫生救助中心，购物中心和免费公厕，在主要功能路段和景点处设置了安全警示标志和应急避难场所标志。针对景区旅游企业和农家乐，与之签订了《安全生产责任状》，并联合旅游、林业、海事、乡镇等部门定期进行安全隐患排查。在疫情防控和防溺水期间，实行2</w:t>
      </w:r>
      <w:r>
        <w:rPr>
          <w:rFonts w:hint="eastAsia" w:ascii="Times New Roman" w:hAnsi="Times New Roman" w:eastAsia="仿宋_GB2312" w:cs="Times New Roman"/>
          <w:color w:val="000000"/>
          <w:sz w:val="32"/>
          <w:szCs w:val="32"/>
        </w:rPr>
        <w:t>4</w:t>
      </w:r>
      <w:r>
        <w:rPr>
          <w:rFonts w:hint="eastAsia" w:eastAsia="仿宋_GB2312"/>
          <w:color w:val="000000"/>
          <w:sz w:val="32"/>
          <w:szCs w:val="32"/>
        </w:rPr>
        <w:t>小时值守制度，建立管理中心、各经营单位、所在村组联动的值班应急体制，形成联防联控，齐抓共管的工作格局。管理中心成立至今，未发生重大安全事故。</w:t>
      </w:r>
    </w:p>
    <w:p>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pPr>
        <w:pStyle w:val="4"/>
        <w:spacing w:line="600" w:lineRule="exact"/>
        <w:ind w:firstLine="640"/>
        <w:rPr>
          <w:rFonts w:hint="eastAsia" w:eastAsia="仿宋_GB2312"/>
          <w:color w:val="000000"/>
          <w:sz w:val="32"/>
          <w:szCs w:val="32"/>
          <w:lang w:eastAsia="zh-CN"/>
        </w:rPr>
      </w:pPr>
      <w:r>
        <w:rPr>
          <w:rFonts w:hint="eastAsia" w:eastAsia="仿宋_GB2312"/>
          <w:color w:val="000000"/>
          <w:sz w:val="32"/>
          <w:szCs w:val="32"/>
          <w:lang w:val="en-US" w:eastAsia="zh-CN"/>
        </w:rPr>
        <w:t>3A及景区旅游复核项目</w:t>
      </w:r>
      <w:r>
        <w:rPr>
          <w:rFonts w:hint="eastAsia" w:eastAsia="仿宋_GB2312"/>
          <w:color w:val="000000"/>
          <w:sz w:val="32"/>
          <w:szCs w:val="32"/>
          <w:lang w:eastAsia="zh-CN"/>
        </w:rPr>
        <w:t>完善了景区基础设施建设；为了营造景区节日氛围，做了中秋、国庆节日布置费；制作了疫情条幅、党旗、景区宣传栏、森林防火宣传等广告；参加了全省风景名胜区保护管理培训、省风景名胜处咨询梦蝶山庄项目等；物管费项目确保了本年人员就餐到位及工作人员工资、食堂设施维修费。</w:t>
      </w:r>
    </w:p>
    <w:p>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spacing w:line="600" w:lineRule="exact"/>
        <w:ind w:firstLine="640" w:firstLineChars="200"/>
        <w:rPr>
          <w:rFonts w:hint="eastAsia" w:eastAsia="仿宋_GB2312"/>
          <w:sz w:val="32"/>
          <w:szCs w:val="32"/>
        </w:rPr>
      </w:pPr>
      <w:r>
        <w:rPr>
          <w:rFonts w:hint="eastAsia" w:eastAsia="仿宋_GB2312"/>
          <w:sz w:val="32"/>
          <w:szCs w:val="32"/>
        </w:rPr>
        <w:t>1.因疫情影响，全年项目建设资金投入较少，支出绩效不够明显。</w:t>
      </w:r>
    </w:p>
    <w:p>
      <w:pPr>
        <w:spacing w:line="600" w:lineRule="exact"/>
        <w:ind w:firstLine="640" w:firstLineChars="200"/>
        <w:rPr>
          <w:rFonts w:hint="eastAsia" w:eastAsia="仿宋_GB2312"/>
          <w:sz w:val="32"/>
          <w:szCs w:val="32"/>
        </w:rPr>
      </w:pPr>
      <w:r>
        <w:rPr>
          <w:rFonts w:hint="eastAsia" w:eastAsia="仿宋_GB2312"/>
          <w:sz w:val="32"/>
          <w:szCs w:val="32"/>
        </w:rPr>
        <w:t>2.绩效评价工作机制有待进一步完善。</w:t>
      </w:r>
    </w:p>
    <w:p>
      <w:pPr>
        <w:spacing w:line="600" w:lineRule="exact"/>
        <w:ind w:firstLine="640" w:firstLineChars="200"/>
        <w:rPr>
          <w:rFonts w:eastAsia="黑体"/>
          <w:sz w:val="32"/>
          <w:szCs w:val="32"/>
        </w:rPr>
      </w:pPr>
      <w:r>
        <w:rPr>
          <w:rFonts w:eastAsia="黑体"/>
          <w:sz w:val="32"/>
          <w:szCs w:val="32"/>
        </w:rPr>
        <w:t>八、下一步改进措施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争取加大项目资金投入，同时高度重视绩效管理工作，及时掌握绩效运行情况，资金支出进度等，全面提高资金使用效益。</w:t>
      </w:r>
    </w:p>
    <w:p>
      <w:pPr>
        <w:numPr>
          <w:ilvl w:val="0"/>
          <w:numId w:val="3"/>
        </w:numPr>
        <w:spacing w:line="600" w:lineRule="exact"/>
        <w:ind w:firstLine="640" w:firstLineChars="200"/>
        <w:rPr>
          <w:rFonts w:eastAsia="黑体"/>
          <w:sz w:val="32"/>
          <w:szCs w:val="32"/>
        </w:rPr>
      </w:pPr>
      <w:r>
        <w:rPr>
          <w:rFonts w:eastAsia="黑体"/>
          <w:sz w:val="32"/>
          <w:szCs w:val="32"/>
        </w:rPr>
        <w:t>绩效自评结果拟应用和公开情况</w:t>
      </w:r>
    </w:p>
    <w:p>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spacing w:line="600" w:lineRule="exact"/>
        <w:ind w:firstLine="640" w:firstLineChars="200"/>
        <w:rPr>
          <w:rFonts w:eastAsia="仿宋_GB2312"/>
          <w:sz w:val="32"/>
          <w:szCs w:val="32"/>
        </w:rPr>
      </w:pPr>
    </w:p>
    <w:p>
      <w:pPr>
        <w:spacing w:line="600" w:lineRule="exact"/>
        <w:rPr>
          <w:rFonts w:eastAsia="仿宋_GB2312"/>
          <w:kern w:val="0"/>
          <w:sz w:val="32"/>
          <w:szCs w:val="32"/>
        </w:rPr>
      </w:pPr>
    </w:p>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5365B"/>
    <w:multiLevelType w:val="singleLevel"/>
    <w:tmpl w:val="8495365B"/>
    <w:lvl w:ilvl="0" w:tentative="0">
      <w:start w:val="9"/>
      <w:numFmt w:val="chineseCounting"/>
      <w:suff w:val="nothing"/>
      <w:lvlText w:val="%1、"/>
      <w:lvlJc w:val="left"/>
      <w:rPr>
        <w:rFonts w:hint="eastAsia"/>
      </w:rPr>
    </w:lvl>
  </w:abstractNum>
  <w:abstractNum w:abstractNumId="1">
    <w:nsid w:val="C796B21B"/>
    <w:multiLevelType w:val="singleLevel"/>
    <w:tmpl w:val="C796B21B"/>
    <w:lvl w:ilvl="0" w:tentative="0">
      <w:start w:val="3"/>
      <w:numFmt w:val="chineseCounting"/>
      <w:suff w:val="nothing"/>
      <w:lvlText w:val="%1、"/>
      <w:lvlJc w:val="left"/>
      <w:rPr>
        <w:rFonts w:hint="eastAsia"/>
      </w:rPr>
    </w:lvl>
  </w:abstractNum>
  <w:abstractNum w:abstractNumId="2">
    <w:nsid w:val="4890FF15"/>
    <w:multiLevelType w:val="singleLevel"/>
    <w:tmpl w:val="4890FF15"/>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00000"/>
    <w:rsid w:val="00004E70"/>
    <w:rsid w:val="00207FA3"/>
    <w:rsid w:val="005A433C"/>
    <w:rsid w:val="008C62A7"/>
    <w:rsid w:val="00A56C8A"/>
    <w:rsid w:val="00D5092F"/>
    <w:rsid w:val="00E55161"/>
    <w:rsid w:val="01047CCF"/>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0F1CFA"/>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6933878"/>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3F30FC"/>
    <w:rsid w:val="52F6075F"/>
    <w:rsid w:val="53086FF5"/>
    <w:rsid w:val="53197C6C"/>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CFE4AB0"/>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1369</Words>
  <Characters>1433</Characters>
  <Lines>0</Lines>
  <Paragraphs>0</Paragraphs>
  <TotalTime>34</TotalTime>
  <ScaleCrop>false</ScaleCrop>
  <LinksUpToDate>false</LinksUpToDate>
  <CharactersWithSpaces>1435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2023-01-12T02:30:18Z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46B1E17AE7754E13BA78DBD53DD7830E</vt:lpwstr>
  </property>
</Properties>
</file>