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2" w:lineRule="exact"/>
        <w:ind w:left="1927" w:leftChars="0" w:right="0" w:hanging="1927" w:hangingChars="477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自然资源</w:t>
      </w:r>
      <w:r>
        <w:rPr>
          <w:rFonts w:hint="eastAsia"/>
          <w:spacing w:val="2"/>
          <w:lang w:eastAsia="zh-CN"/>
        </w:rPr>
        <w:t>和规划</w:t>
      </w:r>
      <w:r>
        <w:rPr>
          <w:spacing w:val="2"/>
        </w:rPr>
        <w:t>局涉企现场检查清单（2022年版）</w:t>
      </w:r>
    </w:p>
    <w:tbl>
      <w:tblPr>
        <w:tblStyle w:val="3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094"/>
        <w:gridCol w:w="1166"/>
        <w:gridCol w:w="1123"/>
        <w:gridCol w:w="1037"/>
        <w:gridCol w:w="1238"/>
        <w:gridCol w:w="5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46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43" w:type="dxa"/>
            <w:gridSpan w:val="3"/>
          </w:tcPr>
          <w:p>
            <w:pPr>
              <w:pStyle w:val="7"/>
              <w:spacing w:line="252" w:lineRule="exact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66" w:type="dxa"/>
            <w:vMerge w:val="restart"/>
          </w:tcPr>
          <w:p>
            <w:pPr>
              <w:pStyle w:val="7"/>
              <w:spacing w:before="46" w:line="240" w:lineRule="auto"/>
              <w:ind w:left="10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23" w:type="dxa"/>
            <w:vMerge w:val="restart"/>
          </w:tcPr>
          <w:p>
            <w:pPr>
              <w:pStyle w:val="7"/>
              <w:spacing w:before="46" w:line="240" w:lineRule="auto"/>
              <w:ind w:left="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line="226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238" w:type="dxa"/>
            <w:vMerge w:val="restart"/>
          </w:tcPr>
          <w:p>
            <w:pPr>
              <w:pStyle w:val="7"/>
              <w:spacing w:before="46" w:line="240" w:lineRule="auto"/>
              <w:ind w:left="13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645" w:type="dxa"/>
            <w:vMerge w:val="restart"/>
          </w:tcPr>
          <w:p>
            <w:pPr>
              <w:pStyle w:val="7"/>
              <w:spacing w:before="46" w:line="240" w:lineRule="auto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</w:tcPr>
          <w:p/>
        </w:tc>
        <w:tc>
          <w:tcPr>
            <w:tcW w:w="1037" w:type="dxa"/>
          </w:tcPr>
          <w:p>
            <w:pPr>
              <w:pStyle w:val="7"/>
              <w:spacing w:line="252" w:lineRule="exact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12" w:type="dxa"/>
          </w:tcPr>
          <w:p>
            <w:pPr>
              <w:pStyle w:val="7"/>
              <w:spacing w:line="252" w:lineRule="exact"/>
              <w:ind w:left="3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094" w:type="dxa"/>
          </w:tcPr>
          <w:p>
            <w:pPr>
              <w:pStyle w:val="7"/>
              <w:spacing w:line="252" w:lineRule="exact"/>
              <w:ind w:left="6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66" w:type="dxa"/>
            <w:vMerge w:val="continue"/>
          </w:tcPr>
          <w:p/>
        </w:tc>
        <w:tc>
          <w:tcPr>
            <w:tcW w:w="1123" w:type="dxa"/>
            <w:vMerge w:val="continue"/>
          </w:tcPr>
          <w:p/>
        </w:tc>
        <w:tc>
          <w:tcPr>
            <w:tcW w:w="1037" w:type="dxa"/>
            <w:vMerge w:val="continue"/>
          </w:tcPr>
          <w:p/>
        </w:tc>
        <w:tc>
          <w:tcPr>
            <w:tcW w:w="1238" w:type="dxa"/>
            <w:vMerge w:val="continue"/>
          </w:tcPr>
          <w:p/>
        </w:tc>
        <w:tc>
          <w:tcPr>
            <w:tcW w:w="564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69" w:lineRule="exact"/>
              <w:ind w:left="4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永久性测量标志</w:t>
            </w:r>
          </w:p>
          <w:p>
            <w:pPr>
              <w:pStyle w:val="7"/>
              <w:spacing w:before="20" w:line="250" w:lineRule="exact"/>
              <w:ind w:left="248" w:right="0" w:hanging="20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、卫星导航定位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基准站检查</w:t>
            </w:r>
          </w:p>
        </w:tc>
        <w:tc>
          <w:tcPr>
            <w:tcW w:w="1094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测绘管理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60" w:right="4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</w:tcPr>
          <w:p>
            <w:pPr>
              <w:pStyle w:val="7"/>
              <w:spacing w:before="6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286" w:right="0" w:hanging="22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1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645" w:type="dxa"/>
          </w:tcPr>
          <w:p>
            <w:pPr>
              <w:pStyle w:val="7"/>
              <w:spacing w:line="21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《中华人民共和国测绘法》第十四条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8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第三款县级以上人民政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府测绘地理信息主管部门应当会同本级人民政府其他有关部门，加强对卫星导航定位基准站建设和运行维护的规范和指导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  <w:p>
            <w:pPr>
              <w:pStyle w:val="7"/>
              <w:spacing w:line="21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2.《中华人民共和国测绘法》第四十五条县级以上人民政府应</w:t>
            </w:r>
          </w:p>
          <w:p>
            <w:pPr>
              <w:pStyle w:val="7"/>
              <w:spacing w:line="20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当采取有效措施加强测量标志的保护工作。县级以上人民政府</w:t>
            </w:r>
          </w:p>
          <w:p>
            <w:pPr>
              <w:pStyle w:val="7"/>
              <w:spacing w:before="20" w:line="25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测绘地理信息主管部门应当按照规定检查、维护永久性测量标。乡级人民政府应当做好本行政区域内的测量标志保护工作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7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6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重大基础设施临</w:t>
            </w:r>
          </w:p>
          <w:p>
            <w:pPr>
              <w:pStyle w:val="7"/>
              <w:spacing w:line="222" w:lineRule="exact"/>
              <w:ind w:left="4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时用地复垦监督</w:t>
            </w:r>
          </w:p>
          <w:p>
            <w:pPr>
              <w:pStyle w:val="7"/>
              <w:spacing w:line="225" w:lineRule="exact"/>
              <w:ind w:left="1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管理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土地管理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60" w:right="4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64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1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1.《土地复垦条例》第八条县级以上人民政府国土资源主管部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门应当依据职责加强对土地复垦情况的监督检查。被检查的单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位或者个人应当如实反映情况，提供必要的资料。任何单位和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个人不得扰乱、阻挠土地复垦工作，破坏土地复垦工程、设施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和设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备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2.《土地复垦条例》第五条国务院国土资源主管部门负责全国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土地复垦的监督管理工作。县级以上地方人民政府国土资源主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管部门负责本行政区域土地复垦的监督管理工作。县级以上人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民政府其他有关部门依照本条例的规定和各自的职责做好土地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复垦有关工作。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《土地复垦条例实施办法》（国土资源部令〔20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2〕第56号）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第四十四条县级以上国土资源主管部门应当采取年度检查、专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项核查、例行稽查、在线监管等形式，对本行政区域内的土地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复垦活动进行监督检查，并可以采取下列措施：（一）要求被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检查当事人如实反映情况和提供相关的文件、资料和电子数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据；（二）要求被检查当事人就土地复垦有关问题做出说明；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（三）进入土地复垦现场进行勘查；（四）责令被检查当事人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停止违反条例的行为。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《土地复垦条例》第十条第四款下列损毁土地由土地复垦义务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人负责复垦：（四）能源、交通、水利等基础设施建设和其他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生产建设活动临时占用所损毁的土地。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《土地复垦条例实施办法》（国土资源部令〔20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2〕第56号）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第三条县级以上国土资源主管部门应当明确专门机构并配备专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职人员负责土地复垦监督管理工作。县级以上国土资源主管部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门应当加强与发展改革、财政、城乡规划、铁路、交通、水利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、环保、农业、林业等部门的协同配合和行业指导监督。上级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国土资源主管部门应当加强对下级国土资源主管部门土地复垦</w:t>
            </w:r>
          </w:p>
        </w:tc>
      </w:tr>
    </w:tbl>
    <w:p>
      <w:pPr>
        <w:spacing w:after="0" w:line="222" w:lineRule="exact"/>
        <w:jc w:val="left"/>
        <w:rPr>
          <w:rFonts w:ascii="方正仿宋_GBK" w:hAnsi="方正仿宋_GBK" w:eastAsia="方正仿宋_GBK" w:cs="方正仿宋_GBK"/>
          <w:sz w:val="20"/>
          <w:szCs w:val="20"/>
        </w:rPr>
        <w:sectPr>
          <w:pgSz w:w="16840" w:h="11910" w:orient="landscape"/>
          <w:pgMar w:top="400" w:right="567" w:bottom="280" w:left="580" w:header="720" w:footer="720" w:gutter="0"/>
          <w:cols w:space="720" w:num="1"/>
        </w:sectPr>
      </w:pPr>
    </w:p>
    <w:p>
      <w:pPr>
        <w:spacing w:before="14" w:line="60" w:lineRule="exact"/>
        <w:rPr>
          <w:sz w:val="6"/>
          <w:szCs w:val="6"/>
        </w:rPr>
      </w:pPr>
    </w:p>
    <w:tbl>
      <w:tblPr>
        <w:tblStyle w:val="3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094"/>
        <w:gridCol w:w="1166"/>
        <w:gridCol w:w="1123"/>
        <w:gridCol w:w="1037"/>
        <w:gridCol w:w="1238"/>
        <w:gridCol w:w="5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63" w:right="5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对测绘活动质量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控制、质量检验</w:t>
            </w:r>
          </w:p>
          <w:p>
            <w:pPr>
              <w:pStyle w:val="7"/>
              <w:spacing w:before="2" w:line="248" w:lineRule="exact"/>
              <w:ind w:left="63" w:right="5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、产品质量情况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的监督检查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4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测绘管理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60" w:right="4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286" w:right="0" w:hanging="22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1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1.《国家测绘地理信息局关于印发〈测绘地理信息质量管理办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法〉的通知》（国测国发〔2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0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〕17号）二十二条测绘单位对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其完成的测绘地理信息成果质量负责，所交付的成果，必须保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证是合格品。测绘单位应建立质量信息征集机制，主动征求用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户对测绘地理信息成果质量的意见，并为用户提供咨询服务。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测绘单位应及时、认真地处理用户的质量查询和反馈意见。与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用户发生质量争议的，报项目所在地测绘地理信息行政主管部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门进行处理，或依法诉讼。</w:t>
            </w:r>
          </w:p>
          <w:p>
            <w:pPr>
              <w:pStyle w:val="7"/>
              <w:spacing w:line="202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2.《国家测绘地理信息局关于印发〈测绘地理信息质量管理办</w:t>
            </w:r>
          </w:p>
          <w:p>
            <w:pPr>
              <w:pStyle w:val="7"/>
              <w:spacing w:before="12" w:line="205" w:lineRule="auto"/>
              <w:ind w:left="30" w:right="14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法〉的通知》（国测国发〔20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5〕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7号）第二十条测绘地理信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息项目实行“两级检查、一级验收”制度。作业部门负责过程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检查，测绘单位负责最终检查。过程成果达到规定的质量要求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后方可转入下一工序。必要时，可在关键工序、难点工序设置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检查点，或开展首件成果检验。项目委托方负责项目验收。基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础测绘项目、测绘地理信息专项和重大建设工程测绘地理信息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项目的成果未经测绘质检机构实施质量检验，不得采取材料验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收、会议验收等方式验收，以确保成果质量；其他项目的验收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应根据合同约定执行。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3.《中华人民共和国测绘法》第三十九条测绘单位应当对完成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的测绘成果质量负责。县级以上人民政府测绘地理信息主管部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门应当加强对测绘成果质量的监督管理。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5" w:lineRule="auto"/>
              <w:ind w:left="63" w:right="5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对测绘仪器设备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依法依规检定或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校准情况的监督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8" w:lineRule="exact"/>
              <w:ind w:left="442" w:right="26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地理信息安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全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60" w:right="4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8" w:lineRule="exact"/>
              <w:ind w:left="183" w:right="0" w:hanging="12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定期检查（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21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半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）</w:t>
            </w:r>
          </w:p>
        </w:tc>
        <w:tc>
          <w:tcPr>
            <w:tcW w:w="5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71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1.《国家测绘地理信息局关于印发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&lt;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测绘地理信息质量管理办法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&gt;的通知》（国测国发〔20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5〕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7号）第十八条测绘地理信息项</w:t>
            </w:r>
          </w:p>
          <w:p>
            <w:pPr>
              <w:pStyle w:val="7"/>
              <w:spacing w:line="20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目实施所使用的仪器设备应按照国家有关规定进行检定、校准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。用于基础测绘项目和规模化测绘地理信息生产的新技术、新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工艺、新软件等，须得到项目组织方同意或通过由项目组织方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组织的检验、测试或鉴定。</w:t>
            </w:r>
            <w:r>
              <w:rPr>
                <w:rFonts w:ascii="方正仿宋_GBK" w:hAnsi="方正仿宋_GBK" w:eastAsia="方正仿宋_GBK" w:cs="方正仿宋_GBK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2.《中华人民共和国测绘法》第三十九条测绘单位应当对完成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的测绘成果质量负责。县级以上人民政府测绘地理信息主管部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门应当加强对测绘成果质量的监督管理。</w:t>
            </w:r>
          </w:p>
        </w:tc>
      </w:tr>
    </w:tbl>
    <w:tbl>
      <w:tblPr>
        <w:tblStyle w:val="3"/>
        <w:tblpPr w:leftFromText="180" w:rightFromText="180" w:vertAnchor="text" w:horzAnchor="page" w:tblpX="881" w:tblpY="-28"/>
        <w:tblOverlap w:val="never"/>
        <w:tblW w:w="148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094"/>
        <w:gridCol w:w="1166"/>
        <w:gridCol w:w="1123"/>
        <w:gridCol w:w="1037"/>
        <w:gridCol w:w="1238"/>
        <w:gridCol w:w="5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651" w:right="0" w:hanging="6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临时用地批后巡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09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4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土地管理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60" w:right="44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3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1.《中华人民共和国土地管理法》第八十条依法收回国有土地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使用权当事人拒不交出土地的，临时使用土地期满拒不归还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的，或者不按照批准的用途使用国有土地的，由县级以上人民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政府土地行政主管部门责令交还土地，处以罚款。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2.《中华人民共和国土地管理法实施条例》四十三条依照《土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地管理法》第八十条的规定处以罚款的，罚款额为非法占用土</w:t>
            </w:r>
          </w:p>
          <w:p>
            <w:pPr>
              <w:pStyle w:val="7"/>
              <w:spacing w:line="20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地每平方米10元以上30元以下。</w:t>
            </w:r>
          </w:p>
          <w:p>
            <w:pPr>
              <w:pStyle w:val="7"/>
              <w:spacing w:line="27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3.《中华人民共和国土地管理法实施条例》第三十五条在临时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使用的土地上修建永久性建筑物、构筑物的，由县级以上人民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政府土地行政主管部门责令限期拆除；逾期不拆除的，由作出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处罚决定的机关依法申请人民法院强制执行。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《中华人民共和国土地管理法实施条例》第四十三条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依照《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土地管理法》第八十条的规定处以罚款的，罚款额为非法占用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土地每平方米10元以上30元以下。</w:t>
            </w:r>
          </w:p>
        </w:tc>
      </w:tr>
    </w:tbl>
    <w:p>
      <w:pPr>
        <w:spacing w:before="14" w:line="60" w:lineRule="exact"/>
        <w:rPr>
          <w:sz w:val="6"/>
          <w:szCs w:val="6"/>
        </w:rPr>
      </w:pPr>
    </w:p>
    <w:p>
      <w:pPr>
        <w:spacing w:before="0" w:line="200" w:lineRule="exact"/>
        <w:rPr>
          <w:sz w:val="20"/>
          <w:szCs w:val="20"/>
        </w:rPr>
      </w:pPr>
    </w:p>
    <w:sectPr>
      <w:pgSz w:w="16840" w:h="11910" w:orient="landscape"/>
      <w:pgMar w:top="1100" w:right="567" w:bottom="280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28BE60EB"/>
    <w:rsid w:val="70C23432"/>
    <w:rsid w:val="7F7E1F84"/>
    <w:rsid w:val="FF6DE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928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2290</Words>
  <Characters>2333</Characters>
  <TotalTime>2</TotalTime>
  <ScaleCrop>false</ScaleCrop>
  <LinksUpToDate>false</LinksUpToDate>
  <CharactersWithSpaces>2356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2022-12-25T02:34:00Z</dcterms:created>
  <dc:creator>22673</dc:creator>
  <cp:lastModifiedBy>greatwall</cp:lastModifiedBy>
  <dcterms:modified xsi:type="dcterms:W3CDTF">2022-12-26T10:28:14Z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6207CADF543E4CC48C6E97416EF74ACF</vt:lpwstr>
  </property>
</Properties>
</file>