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03" w:lineRule="exact"/>
        <w:ind w:left="965" w:leftChars="0" w:right="0" w:hanging="965" w:hangingChars="239"/>
        <w:jc w:val="center"/>
        <w:rPr>
          <w:rFonts w:ascii="方正小标宋_GBK" w:hAnsi="方正小标宋_GBK" w:eastAsia="方正小标宋_GBK" w:cs="方正小标宋_GBK"/>
          <w:spacing w:val="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2"/>
          <w:sz w:val="40"/>
          <w:szCs w:val="40"/>
          <w:lang w:eastAsia="zh-CN"/>
        </w:rPr>
        <w:t>株洲市</w:t>
      </w:r>
      <w:r>
        <w:rPr>
          <w:rFonts w:ascii="方正小标宋_GBK" w:hAnsi="方正小标宋_GBK" w:eastAsia="方正小标宋_GBK" w:cs="方正小标宋_GBK"/>
          <w:spacing w:val="2"/>
          <w:sz w:val="40"/>
          <w:szCs w:val="40"/>
        </w:rPr>
        <w:t>住房和城乡建设</w:t>
      </w:r>
      <w:r>
        <w:rPr>
          <w:rFonts w:hint="eastAsia" w:ascii="方正小标宋_GBK" w:hAnsi="方正小标宋_GBK" w:eastAsia="方正小标宋_GBK" w:cs="方正小标宋_GBK"/>
          <w:spacing w:val="2"/>
          <w:sz w:val="40"/>
          <w:szCs w:val="40"/>
          <w:lang w:eastAsia="zh-CN"/>
        </w:rPr>
        <w:t>局</w:t>
      </w:r>
      <w:r>
        <w:rPr>
          <w:rFonts w:ascii="方正小标宋_GBK" w:hAnsi="方正小标宋_GBK" w:eastAsia="方正小标宋_GBK" w:cs="方正小标宋_GBK"/>
          <w:spacing w:val="2"/>
          <w:sz w:val="40"/>
          <w:szCs w:val="40"/>
        </w:rPr>
        <w:t>涉企现场检查清单（2022年版）</w:t>
      </w:r>
    </w:p>
    <w:tbl>
      <w:tblPr>
        <w:tblStyle w:val="4"/>
        <w:tblW w:w="15891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90"/>
        <w:gridCol w:w="1024"/>
        <w:gridCol w:w="1025"/>
        <w:gridCol w:w="1278"/>
        <w:gridCol w:w="1181"/>
        <w:gridCol w:w="1072"/>
        <w:gridCol w:w="1197"/>
        <w:gridCol w:w="7053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273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  <w:t>检查事项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  <w:t>是否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  <w:t>涉企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  <w:t>检查方式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  <w:t>是否联合检查</w:t>
            </w:r>
          </w:p>
        </w:tc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  <w:t>检查频率</w:t>
            </w:r>
          </w:p>
        </w:tc>
        <w:tc>
          <w:tcPr>
            <w:tcW w:w="705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  <w:t>检查依据</w:t>
            </w:r>
          </w:p>
        </w:tc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</w:tcPr>
          <w:p>
            <w:pPr>
              <w:jc w:val="both"/>
              <w:rPr>
                <w:rFonts w:hint="eastAsia"/>
                <w:spacing w:val="2"/>
                <w:vertAlign w:val="baseline"/>
                <w:lang w:eastAsia="zh-CN"/>
              </w:rPr>
            </w:pPr>
          </w:p>
        </w:tc>
        <w:tc>
          <w:tcPr>
            <w:tcW w:w="690" w:type="dxa"/>
          </w:tcPr>
          <w:p>
            <w:pPr>
              <w:jc w:val="both"/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  <w:t>事项</w:t>
            </w:r>
          </w:p>
          <w:p>
            <w:pPr>
              <w:jc w:val="both"/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  <w:t>类型</w:t>
            </w:r>
          </w:p>
        </w:tc>
        <w:tc>
          <w:tcPr>
            <w:tcW w:w="1024" w:type="dxa"/>
          </w:tcPr>
          <w:p>
            <w:pPr>
              <w:jc w:val="both"/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  <w:t>实施</w:t>
            </w:r>
          </w:p>
          <w:p>
            <w:pPr>
              <w:jc w:val="both"/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  <w:t>清单名</w:t>
            </w:r>
          </w:p>
        </w:tc>
        <w:tc>
          <w:tcPr>
            <w:tcW w:w="1025" w:type="dxa"/>
          </w:tcPr>
          <w:p>
            <w:pPr>
              <w:jc w:val="both"/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  <w:t>所涉</w:t>
            </w:r>
          </w:p>
          <w:p>
            <w:pPr>
              <w:jc w:val="both"/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  <w:vertAlign w:val="baseline"/>
                <w:lang w:eastAsia="zh-CN"/>
              </w:rPr>
              <w:t>领域</w:t>
            </w:r>
          </w:p>
        </w:tc>
        <w:tc>
          <w:tcPr>
            <w:tcW w:w="1278" w:type="dxa"/>
            <w:vMerge w:val="continue"/>
          </w:tcPr>
          <w:p>
            <w:pPr>
              <w:jc w:val="both"/>
              <w:rPr>
                <w:rFonts w:hint="eastAsia"/>
                <w:spacing w:val="2"/>
                <w:vertAlign w:val="baseline"/>
                <w:lang w:eastAsia="zh-CN"/>
              </w:rPr>
            </w:pPr>
          </w:p>
        </w:tc>
        <w:tc>
          <w:tcPr>
            <w:tcW w:w="1181" w:type="dxa"/>
            <w:vMerge w:val="continue"/>
          </w:tcPr>
          <w:p>
            <w:pPr>
              <w:jc w:val="both"/>
              <w:rPr>
                <w:rFonts w:hint="eastAsia"/>
                <w:spacing w:val="2"/>
                <w:vertAlign w:val="baseline"/>
                <w:lang w:eastAsia="zh-CN"/>
              </w:rPr>
            </w:pPr>
          </w:p>
        </w:tc>
        <w:tc>
          <w:tcPr>
            <w:tcW w:w="1072" w:type="dxa"/>
            <w:vMerge w:val="continue"/>
          </w:tcPr>
          <w:p>
            <w:pPr>
              <w:jc w:val="both"/>
              <w:rPr>
                <w:rFonts w:hint="eastAsia"/>
                <w:spacing w:val="2"/>
                <w:vertAlign w:val="baseline"/>
                <w:lang w:eastAsia="zh-CN"/>
              </w:rPr>
            </w:pPr>
          </w:p>
        </w:tc>
        <w:tc>
          <w:tcPr>
            <w:tcW w:w="1197" w:type="dxa"/>
            <w:vMerge w:val="continue"/>
          </w:tcPr>
          <w:p>
            <w:pPr>
              <w:jc w:val="both"/>
              <w:rPr>
                <w:rFonts w:hint="eastAsia"/>
                <w:spacing w:val="2"/>
                <w:vertAlign w:val="baseline"/>
                <w:lang w:eastAsia="zh-CN"/>
              </w:rPr>
            </w:pPr>
          </w:p>
        </w:tc>
        <w:tc>
          <w:tcPr>
            <w:tcW w:w="7053" w:type="dxa"/>
            <w:vMerge w:val="continue"/>
          </w:tcPr>
          <w:p>
            <w:pPr>
              <w:jc w:val="both"/>
              <w:rPr>
                <w:rFonts w:hint="eastAsia"/>
                <w:spacing w:val="2"/>
                <w:vertAlign w:val="baseline"/>
                <w:lang w:eastAsia="zh-CN"/>
              </w:rPr>
            </w:pPr>
          </w:p>
        </w:tc>
        <w:tc>
          <w:tcPr>
            <w:tcW w:w="666" w:type="dxa"/>
            <w:vMerge w:val="continue"/>
          </w:tcPr>
          <w:p>
            <w:pPr>
              <w:jc w:val="both"/>
              <w:rPr>
                <w:rFonts w:hint="eastAsia"/>
                <w:spacing w:val="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top"/>
          </w:tcPr>
          <w:p>
            <w:pPr>
              <w:pStyle w:val="8"/>
              <w:spacing w:line="240" w:lineRule="auto"/>
              <w:ind w:left="450" w:leftChars="0" w:right="429" w:rightChars="0"/>
              <w:jc w:val="center"/>
              <w:rPr>
                <w:rFonts w:hint="eastAsia"/>
                <w:spacing w:val="2"/>
                <w:vertAlign w:val="baseline"/>
                <w:lang w:eastAsia="zh-CN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690" w:type="dxa"/>
            <w:vAlign w:val="top"/>
          </w:tcPr>
          <w:p>
            <w:pPr>
              <w:pStyle w:val="8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left="111" w:leftChars="0" w:right="0" w:rightChars="0"/>
              <w:jc w:val="left"/>
              <w:rPr>
                <w:rFonts w:hint="eastAsia"/>
                <w:spacing w:val="2"/>
                <w:vertAlign w:val="baseline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024" w:type="dxa"/>
            <w:vAlign w:val="top"/>
          </w:tcPr>
          <w:p>
            <w:pPr>
              <w:pStyle w:val="8"/>
              <w:spacing w:before="5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8"/>
              <w:spacing w:line="250" w:lineRule="exact"/>
              <w:ind w:left="0" w:leftChars="0" w:right="0" w:rightChars="0" w:firstLine="0" w:firstLineChars="0"/>
              <w:jc w:val="left"/>
              <w:rPr>
                <w:rFonts w:hint="eastAsia"/>
                <w:spacing w:val="2"/>
                <w:vertAlign w:val="baseline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建设工程质量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监督检查</w:t>
            </w:r>
          </w:p>
        </w:tc>
        <w:tc>
          <w:tcPr>
            <w:tcW w:w="1025" w:type="dxa"/>
            <w:vAlign w:val="top"/>
          </w:tcPr>
          <w:p>
            <w:pPr>
              <w:pStyle w:val="8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pacing w:val="2"/>
                <w:vertAlign w:val="baseline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建设工程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8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8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left="437" w:leftChars="0" w:right="425" w:rightChars="0"/>
              <w:jc w:val="center"/>
              <w:rPr>
                <w:rFonts w:hint="eastAsia"/>
                <w:spacing w:val="2"/>
                <w:vertAlign w:val="baseline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81" w:type="dxa"/>
            <w:vAlign w:val="top"/>
          </w:tcPr>
          <w:p>
            <w:pPr>
              <w:pStyle w:val="8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left="406" w:leftChars="0" w:right="0" w:rightChars="0"/>
              <w:jc w:val="left"/>
              <w:rPr>
                <w:rFonts w:hint="eastAsia"/>
                <w:spacing w:val="2"/>
                <w:vertAlign w:val="baseline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spacing w:line="240" w:lineRule="auto"/>
              <w:ind w:left="13" w:leftChars="0" w:right="1" w:rightChars="0"/>
              <w:jc w:val="center"/>
              <w:rPr>
                <w:rFonts w:hint="eastAsia"/>
                <w:spacing w:val="2"/>
                <w:vertAlign w:val="baseline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line="270" w:lineRule="exact"/>
              <w:ind w:left="33" w:right="21"/>
              <w:jc w:val="center"/>
              <w:rPr>
                <w:rFonts w:hint="eastAsia"/>
                <w:spacing w:val="2"/>
                <w:vertAlign w:val="baseline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（重大建设工程项目不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少于1次/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月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）</w:t>
            </w:r>
          </w:p>
        </w:tc>
        <w:tc>
          <w:tcPr>
            <w:tcW w:w="7053" w:type="dxa"/>
            <w:vAlign w:val="top"/>
          </w:tcPr>
          <w:p>
            <w:pPr>
              <w:pStyle w:val="8"/>
              <w:spacing w:before="8" w:line="250" w:lineRule="exact"/>
              <w:ind w:left="27" w:leftChars="0" w:right="42" w:rightChars="0"/>
              <w:jc w:val="left"/>
              <w:rPr>
                <w:rFonts w:hint="eastAsia"/>
                <w:spacing w:val="2"/>
                <w:vertAlign w:val="baseline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《建设工程质量管理条例》第四十三条第三款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县级以上地方人民政府建设行政主管部门对本行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政区域内的建设工程质量实施监督管理。县级以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上地方人民政府交通、水利等有关部门在各自的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职责范围内，负责对本行政区域内的专业建设工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程质量的监督管理。</w:t>
            </w:r>
          </w:p>
        </w:tc>
        <w:tc>
          <w:tcPr>
            <w:tcW w:w="666" w:type="dxa"/>
          </w:tcPr>
          <w:p>
            <w:pPr>
              <w:jc w:val="both"/>
              <w:rPr>
                <w:rFonts w:hint="eastAsia"/>
                <w:spacing w:val="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dxa"/>
            <w:vAlign w:val="top"/>
          </w:tcPr>
          <w:p>
            <w:pPr>
              <w:pStyle w:val="8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left="450" w:leftChars="0" w:right="429" w:rightChars="0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w w:val="90"/>
                <w:sz w:val="20"/>
                <w:lang w:val="en-US" w:eastAsia="zh-CN"/>
              </w:rPr>
              <w:t>2</w:t>
            </w:r>
          </w:p>
        </w:tc>
        <w:tc>
          <w:tcPr>
            <w:tcW w:w="690" w:type="dxa"/>
            <w:vAlign w:val="top"/>
          </w:tcPr>
          <w:p>
            <w:pPr>
              <w:pStyle w:val="8"/>
              <w:spacing w:line="240" w:lineRule="auto"/>
              <w:ind w:left="111" w:leftChars="0" w:right="0" w:rightChars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024" w:type="dxa"/>
            <w:vAlign w:val="top"/>
          </w:tcPr>
          <w:p>
            <w:pPr>
              <w:pStyle w:val="8"/>
              <w:spacing w:before="0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8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8"/>
              <w:spacing w:line="248" w:lineRule="exact"/>
              <w:ind w:left="0" w:leftChars="0" w:right="0" w:rightChars="0" w:firstLine="0" w:firstLineChars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建设工程安全监督</w:t>
            </w:r>
          </w:p>
        </w:tc>
        <w:tc>
          <w:tcPr>
            <w:tcW w:w="1025" w:type="dxa"/>
            <w:vAlign w:val="top"/>
          </w:tcPr>
          <w:p>
            <w:pPr>
              <w:pStyle w:val="8"/>
              <w:spacing w:line="240" w:lineRule="auto"/>
              <w:ind w:left="200" w:leftChars="0" w:right="0" w:rightChars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建设工程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line="240" w:lineRule="auto"/>
              <w:ind w:left="437" w:leftChars="0" w:right="425" w:rightChars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81" w:type="dxa"/>
            <w:vAlign w:val="top"/>
          </w:tcPr>
          <w:p>
            <w:pPr>
              <w:pStyle w:val="8"/>
              <w:spacing w:line="240" w:lineRule="auto"/>
              <w:ind w:right="0" w:rightChars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spacing w:line="240" w:lineRule="auto"/>
              <w:ind w:left="13" w:leftChars="0" w:right="1" w:rightChars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line="269" w:lineRule="exact"/>
              <w:ind w:left="33" w:right="2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8"/>
              <w:spacing w:before="12" w:line="205" w:lineRule="auto"/>
              <w:ind w:left="95" w:right="83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（重大建设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工程项目不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少于1次</w:t>
            </w:r>
          </w:p>
          <w:p>
            <w:pPr>
              <w:pStyle w:val="8"/>
              <w:spacing w:line="257" w:lineRule="exact"/>
              <w:ind w:left="33" w:leftChars="0" w:right="20" w:rightChars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月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）</w:t>
            </w:r>
          </w:p>
        </w:tc>
        <w:tc>
          <w:tcPr>
            <w:tcW w:w="7053" w:type="dxa"/>
            <w:vAlign w:val="top"/>
          </w:tcPr>
          <w:p>
            <w:pPr>
              <w:pStyle w:val="8"/>
              <w:spacing w:line="197" w:lineRule="exact"/>
              <w:ind w:left="27" w:right="-202" w:rightChars="-9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《中华人民共和国安全生产法》（中华人民共和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国主席令第十三号）第九条第二款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0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县级以上地方</w:t>
            </w:r>
            <w:r>
              <w:rPr>
                <w:rFonts w:ascii="方正仿宋_GBK" w:hAnsi="方正仿宋_GBK" w:eastAsia="方正仿宋_GBK" w:cs="方正仿宋_GBK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各级人民政府有关部门依照本法和其他有关法律、法规的规定，在各自的职责范围内对有关行业、领域的安全生产工作实施监督管理。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《中华人民共和国安全生产法》第六十二条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0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安全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生产监督管理部门和其他负有安全生产监督管理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职责的部门依法开展安全生产行政执法工作，对生产经营单位执行有关安全生产的法律、法规和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国家标准或者行业标准的情况进行监督检查，行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使以下职权：（一）进入生产经营单位进行检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查，调阅有关资料，向有关单位和人员了解情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况；（二）对检查中发现的安全生产违法行为，当场予以纠正或者要求限期改正；对依法应当给予行政处罚的行为，依照本法和其他有关法律、行政法规的规定作出行政处罚决定；（三）对检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查中发现的事故隐患，应当责令立即排除；重大事故隐患排除前或者排除过程中无法保证安全的，应当责令从危险区域内撤出作业人员，责令暂时停产停业或者停止使用相关设施、设备；重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大事故隐患排除后，经审查同意，方可恢复生产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经营和使用；（四）对有根据认为不符合保障安全生产的国家标准或者行业标准的设、设备、器材以及违法生产、储存、使用、经营、运输的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危险物品予以查封或者扣押，对违法生产、储存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、使用、经营危险物品的作业场所予以查，并依法作出处理决定。监督检查不得影响被检查单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位的正常生产经营活动。</w:t>
            </w:r>
            <w:bookmarkStart w:id="0" w:name="_GoBack"/>
            <w:bookmarkEnd w:id="0"/>
          </w:p>
          <w:p>
            <w:pPr>
              <w:pStyle w:val="8"/>
              <w:spacing w:line="216" w:lineRule="exact"/>
              <w:ind w:left="27" w:leftChars="0" w:right="-202" w:rightChars="-9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66" w:type="dxa"/>
          </w:tcPr>
          <w:p>
            <w:pPr>
              <w:jc w:val="both"/>
              <w:rPr>
                <w:rFonts w:hint="eastAsia"/>
                <w:spacing w:val="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top"/>
          </w:tcPr>
          <w:p>
            <w:pPr>
              <w:pStyle w:val="8"/>
              <w:spacing w:line="240" w:lineRule="auto"/>
              <w:ind w:left="668" w:leftChars="0" w:right="429" w:rightChars="0" w:hanging="668" w:hangingChars="33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/>
                <w:sz w:val="20"/>
              </w:rPr>
              <w:t>5</w:t>
            </w:r>
          </w:p>
        </w:tc>
        <w:tc>
          <w:tcPr>
            <w:tcW w:w="690" w:type="dxa"/>
            <w:vAlign w:val="top"/>
          </w:tcPr>
          <w:p>
            <w:pPr>
              <w:pStyle w:val="8"/>
              <w:spacing w:before="8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111" w:leftChars="0" w:right="0" w:rightChars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024" w:type="dxa"/>
            <w:vAlign w:val="top"/>
          </w:tcPr>
          <w:p>
            <w:pPr>
              <w:pStyle w:val="8"/>
              <w:spacing w:line="248" w:lineRule="exact"/>
              <w:ind w:left="0" w:leftChars="0" w:right="0" w:rightChars="0" w:firstLine="0" w:firstLineChars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人民防空工程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质量监督</w:t>
            </w:r>
          </w:p>
        </w:tc>
        <w:tc>
          <w:tcPr>
            <w:tcW w:w="1025" w:type="dxa"/>
            <w:vAlign w:val="top"/>
          </w:tcPr>
          <w:p>
            <w:pPr>
              <w:pStyle w:val="8"/>
              <w:spacing w:before="8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00" w:leftChars="0" w:right="0" w:rightChars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建设工程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8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8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8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left="437" w:leftChars="0" w:right="425" w:rightChars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81" w:type="dxa"/>
            <w:vAlign w:val="top"/>
          </w:tcPr>
          <w:p>
            <w:pPr>
              <w:pStyle w:val="8"/>
              <w:spacing w:before="8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8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8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left="406" w:leftChars="0" w:right="0" w:rightChars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spacing w:before="8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8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8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left="13" w:leftChars="0" w:right="1" w:rightChars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97" w:type="dxa"/>
            <w:vAlign w:val="top"/>
          </w:tcPr>
          <w:p>
            <w:pPr>
              <w:pStyle w:val="8"/>
              <w:spacing w:line="269" w:lineRule="exact"/>
              <w:ind w:left="33" w:right="2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不定期抽查</w:t>
            </w:r>
          </w:p>
          <w:p>
            <w:pPr>
              <w:pStyle w:val="8"/>
              <w:spacing w:line="248" w:lineRule="exact"/>
              <w:ind w:left="33" w:right="2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4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spacing w:val="-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</w:p>
          <w:p>
            <w:pPr>
              <w:pStyle w:val="8"/>
              <w:spacing w:line="270" w:lineRule="exact"/>
              <w:ind w:left="33" w:leftChars="0" w:right="20" w:rightChars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年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）</w:t>
            </w:r>
          </w:p>
        </w:tc>
        <w:tc>
          <w:tcPr>
            <w:tcW w:w="7053" w:type="dxa"/>
            <w:vAlign w:val="top"/>
          </w:tcPr>
          <w:p>
            <w:pPr>
              <w:pStyle w:val="8"/>
              <w:spacing w:line="205" w:lineRule="auto"/>
              <w:ind w:left="27" w:leftChars="0" w:right="42" w:rightChars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《人民防空工程建设管理规定》（〔2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00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3〕国人</w:t>
            </w:r>
            <w:r>
              <w:rPr>
                <w:rFonts w:ascii="方正仿宋_GBK" w:hAnsi="方正仿宋_GBK" w:eastAsia="方正仿宋_GBK" w:cs="方正仿宋_GBK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防办字第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18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号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)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第三十条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9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人民防空工程建设实行质</w:t>
            </w:r>
            <w:r>
              <w:rPr>
                <w:rFonts w:ascii="方正仿宋_GBK" w:hAnsi="方正仿宋_GBK" w:eastAsia="方正仿宋_GBK" w:cs="方正仿宋_GBK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量监督管理制度。国家人民防空主管部门对全国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的人民防空工程质量实施监督管理。县级以上人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民政府人民防空主管部门对本行政区域内的人民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防空工程质量实施监督管理。</w:t>
            </w:r>
          </w:p>
        </w:tc>
        <w:tc>
          <w:tcPr>
            <w:tcW w:w="666" w:type="dxa"/>
          </w:tcPr>
          <w:p>
            <w:pPr>
              <w:jc w:val="both"/>
              <w:rPr>
                <w:rFonts w:hint="eastAsia"/>
                <w:spacing w:val="2"/>
                <w:vertAlign w:val="baseline"/>
                <w:lang w:eastAsia="zh-CN"/>
              </w:rPr>
            </w:pPr>
          </w:p>
        </w:tc>
      </w:tr>
    </w:tbl>
    <w:p>
      <w:pPr>
        <w:spacing w:before="0" w:line="503" w:lineRule="exact"/>
        <w:ind w:left="965" w:leftChars="0" w:right="0" w:hanging="965" w:hangingChars="239"/>
        <w:jc w:val="center"/>
        <w:rPr>
          <w:rFonts w:hint="eastAsia" w:ascii="方正小标宋_GBK" w:hAnsi="方正小标宋_GBK" w:eastAsia="方正小标宋_GBK" w:cs="方正小标宋_GBK"/>
          <w:spacing w:val="2"/>
          <w:sz w:val="40"/>
          <w:szCs w:val="40"/>
          <w:lang w:eastAsia="zh-CN"/>
        </w:rPr>
      </w:pPr>
    </w:p>
    <w:p>
      <w:pPr>
        <w:spacing w:before="0" w:line="503" w:lineRule="exact"/>
        <w:ind w:left="965" w:leftChars="0" w:right="0" w:hanging="965" w:hangingChars="239"/>
        <w:jc w:val="center"/>
        <w:rPr>
          <w:rFonts w:hint="eastAsia" w:ascii="方正小标宋_GBK" w:hAnsi="方正小标宋_GBK" w:eastAsia="方正小标宋_GBK" w:cs="方正小标宋_GBK"/>
          <w:spacing w:val="2"/>
          <w:sz w:val="40"/>
          <w:szCs w:val="40"/>
          <w:lang w:eastAsia="zh-CN"/>
        </w:rPr>
      </w:pPr>
    </w:p>
    <w:p/>
    <w:sectPr>
      <w:pgSz w:w="16840" w:h="11910" w:orient="landscape"/>
      <w:pgMar w:top="380" w:right="1120" w:bottom="280" w:left="9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153F2150"/>
    <w:rsid w:val="31533EA3"/>
    <w:rsid w:val="3F7F4456"/>
    <w:rsid w:val="59E76883"/>
    <w:rsid w:val="7B2FC9C5"/>
    <w:rsid w:val="7D8E07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方正仿宋_GBK" w:hAnsi="方正仿宋_GBK" w:eastAsia="方正仿宋_GBK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2678</Words>
  <Characters>2694</Characters>
  <TotalTime>9</TotalTime>
  <ScaleCrop>false</ScaleCrop>
  <LinksUpToDate>false</LinksUpToDate>
  <CharactersWithSpaces>2811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2022-12-25T02:16:00Z</dcterms:created>
  <dc:creator>22673</dc:creator>
  <cp:lastModifiedBy>greatwall</cp:lastModifiedBy>
  <dcterms:modified xsi:type="dcterms:W3CDTF">2022-12-26T10:24:06Z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085923546E704A2F98B4157CDEE5DAE8</vt:lpwstr>
  </property>
</Properties>
</file>