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98" w:lineRule="exact"/>
        <w:ind w:left="2880" w:leftChars="0" w:right="0" w:hanging="2880" w:hangingChars="713"/>
        <w:jc w:val="center"/>
      </w:pPr>
      <w:r>
        <w:rPr>
          <w:rFonts w:hint="eastAsia"/>
          <w:spacing w:val="2"/>
          <w:lang w:eastAsia="zh-CN"/>
        </w:rPr>
        <w:t>株洲市</w:t>
      </w:r>
      <w:r>
        <w:rPr>
          <w:spacing w:val="2"/>
        </w:rPr>
        <w:t>水利局涉企现场检查清单（2022年版）</w:t>
      </w:r>
    </w:p>
    <w:tbl>
      <w:tblPr>
        <w:tblStyle w:val="3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512"/>
        <w:gridCol w:w="1080"/>
        <w:gridCol w:w="1210"/>
        <w:gridCol w:w="1166"/>
        <w:gridCol w:w="1037"/>
        <w:gridCol w:w="1166"/>
        <w:gridCol w:w="5558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restart"/>
          </w:tcPr>
          <w:p>
            <w:pPr>
              <w:pStyle w:val="7"/>
              <w:spacing w:before="45" w:line="240" w:lineRule="auto"/>
              <w:ind w:left="27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3629" w:type="dxa"/>
            <w:gridSpan w:val="3"/>
          </w:tcPr>
          <w:p>
            <w:pPr>
              <w:pStyle w:val="7"/>
              <w:spacing w:line="251" w:lineRule="exact"/>
              <w:ind w:left="18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检查事项</w:t>
            </w:r>
          </w:p>
        </w:tc>
        <w:tc>
          <w:tcPr>
            <w:tcW w:w="1210" w:type="dxa"/>
            <w:vMerge w:val="restart"/>
          </w:tcPr>
          <w:p>
            <w:pPr>
              <w:pStyle w:val="7"/>
              <w:spacing w:before="45" w:line="240" w:lineRule="auto"/>
              <w:ind w:left="123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是否涉企</w:t>
            </w:r>
          </w:p>
        </w:tc>
        <w:tc>
          <w:tcPr>
            <w:tcW w:w="1166" w:type="dxa"/>
            <w:vMerge w:val="restart"/>
          </w:tcPr>
          <w:p>
            <w:pPr>
              <w:pStyle w:val="7"/>
              <w:spacing w:before="45" w:line="240" w:lineRule="auto"/>
              <w:ind w:left="99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检查方式</w:t>
            </w:r>
          </w:p>
        </w:tc>
        <w:tc>
          <w:tcPr>
            <w:tcW w:w="1037" w:type="dxa"/>
            <w:vMerge w:val="restart"/>
          </w:tcPr>
          <w:p>
            <w:pPr>
              <w:pStyle w:val="7"/>
              <w:spacing w:line="227" w:lineRule="exact"/>
              <w:ind w:left="19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是否联合</w:t>
            </w:r>
          </w:p>
          <w:p>
            <w:pPr>
              <w:pStyle w:val="7"/>
              <w:spacing w:line="322" w:lineRule="exact"/>
              <w:ind w:left="19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</w:t>
            </w:r>
          </w:p>
        </w:tc>
        <w:tc>
          <w:tcPr>
            <w:tcW w:w="1166" w:type="dxa"/>
            <w:vMerge w:val="restart"/>
          </w:tcPr>
          <w:p>
            <w:pPr>
              <w:pStyle w:val="7"/>
              <w:spacing w:before="45" w:line="240" w:lineRule="auto"/>
              <w:ind w:left="99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检查频率</w:t>
            </w:r>
          </w:p>
        </w:tc>
        <w:tc>
          <w:tcPr>
            <w:tcW w:w="5558" w:type="dxa"/>
            <w:vMerge w:val="restart"/>
          </w:tcPr>
          <w:p>
            <w:pPr>
              <w:pStyle w:val="7"/>
              <w:spacing w:before="45" w:line="240" w:lineRule="auto"/>
              <w:ind w:left="19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检查依据</w:t>
            </w:r>
          </w:p>
        </w:tc>
        <w:tc>
          <w:tcPr>
            <w:tcW w:w="749" w:type="dxa"/>
            <w:vMerge w:val="restart"/>
          </w:tcPr>
          <w:p>
            <w:pPr>
              <w:pStyle w:val="7"/>
              <w:spacing w:before="45" w:line="240" w:lineRule="auto"/>
              <w:ind w:left="130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continue"/>
          </w:tcPr>
          <w:p/>
        </w:tc>
        <w:tc>
          <w:tcPr>
            <w:tcW w:w="1037" w:type="dxa"/>
          </w:tcPr>
          <w:p>
            <w:pPr>
              <w:pStyle w:val="7"/>
              <w:spacing w:line="251" w:lineRule="exact"/>
              <w:ind w:left="3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事项类型</w:t>
            </w:r>
          </w:p>
        </w:tc>
        <w:tc>
          <w:tcPr>
            <w:tcW w:w="1512" w:type="dxa"/>
          </w:tcPr>
          <w:p>
            <w:pPr>
              <w:pStyle w:val="7"/>
              <w:spacing w:line="251" w:lineRule="exact"/>
              <w:ind w:left="35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实施清单名称</w:t>
            </w:r>
          </w:p>
        </w:tc>
        <w:tc>
          <w:tcPr>
            <w:tcW w:w="1080" w:type="dxa"/>
          </w:tcPr>
          <w:p>
            <w:pPr>
              <w:pStyle w:val="7"/>
              <w:spacing w:line="251" w:lineRule="exact"/>
              <w:ind w:left="59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所涉领域</w:t>
            </w:r>
          </w:p>
        </w:tc>
        <w:tc>
          <w:tcPr>
            <w:tcW w:w="1210" w:type="dxa"/>
            <w:vMerge w:val="continue"/>
          </w:tcPr>
          <w:p/>
        </w:tc>
        <w:tc>
          <w:tcPr>
            <w:tcW w:w="1166" w:type="dxa"/>
            <w:vMerge w:val="continue"/>
          </w:tcPr>
          <w:p/>
        </w:tc>
        <w:tc>
          <w:tcPr>
            <w:tcW w:w="1037" w:type="dxa"/>
            <w:vMerge w:val="continue"/>
          </w:tcPr>
          <w:p/>
        </w:tc>
        <w:tc>
          <w:tcPr>
            <w:tcW w:w="1166" w:type="dxa"/>
            <w:vMerge w:val="continue"/>
          </w:tcPr>
          <w:p/>
        </w:tc>
        <w:tc>
          <w:tcPr>
            <w:tcW w:w="5558" w:type="dxa"/>
            <w:vMerge w:val="continue"/>
          </w:tcPr>
          <w:p/>
        </w:tc>
        <w:tc>
          <w:tcPr>
            <w:tcW w:w="7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exact"/>
        </w:trPr>
        <w:tc>
          <w:tcPr>
            <w:tcW w:w="1037" w:type="dxa"/>
          </w:tcPr>
          <w:p>
            <w:pPr>
              <w:pStyle w:val="7"/>
              <w:spacing w:before="9" w:line="110" w:lineRule="exact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9" w:right="38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75"/>
                <w:sz w:val="20"/>
              </w:rPr>
              <w:t>1</w:t>
            </w:r>
          </w:p>
        </w:tc>
        <w:tc>
          <w:tcPr>
            <w:tcW w:w="1037" w:type="dxa"/>
          </w:tcPr>
          <w:p>
            <w:pPr>
              <w:pStyle w:val="7"/>
              <w:spacing w:before="9" w:line="110" w:lineRule="exact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12" w:type="dxa"/>
          </w:tcPr>
          <w:p>
            <w:pPr>
              <w:pStyle w:val="7"/>
              <w:spacing w:before="7"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7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涉河建设项目执</w:t>
            </w:r>
          </w:p>
          <w:p>
            <w:pPr>
              <w:pStyle w:val="7"/>
              <w:spacing w:line="196" w:lineRule="exact"/>
              <w:ind w:left="4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行洪水影响评价</w:t>
            </w:r>
          </w:p>
          <w:p>
            <w:pPr>
              <w:pStyle w:val="7"/>
              <w:spacing w:line="270" w:lineRule="exact"/>
              <w:ind w:left="4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批复内容实施情</w:t>
            </w:r>
          </w:p>
          <w:p>
            <w:pPr>
              <w:pStyle w:val="7"/>
              <w:spacing w:line="218" w:lineRule="exact"/>
              <w:ind w:left="45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况检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080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6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50" w:lineRule="exact"/>
              <w:ind w:left="337" w:right="0" w:hanging="305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防洪、地质</w:t>
            </w:r>
            <w:r>
              <w:rPr>
                <w:rFonts w:ascii="方正仿宋_GBK" w:hAnsi="方正仿宋_GBK" w:eastAsia="方正仿宋_GBK" w:cs="方正仿宋_GBK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灾害</w:t>
            </w:r>
          </w:p>
        </w:tc>
        <w:tc>
          <w:tcPr>
            <w:tcW w:w="1210" w:type="dxa"/>
          </w:tcPr>
          <w:p>
            <w:pPr>
              <w:pStyle w:val="7"/>
              <w:spacing w:before="9" w:line="110" w:lineRule="exact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82" w:right="465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66" w:type="dxa"/>
          </w:tcPr>
          <w:p>
            <w:pPr>
              <w:pStyle w:val="7"/>
              <w:spacing w:before="9" w:line="110" w:lineRule="exact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7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/>
          </w:tcPr>
          <w:p>
            <w:pPr>
              <w:pStyle w:val="7"/>
              <w:spacing w:before="7"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lang w:eastAsia="zh-CN"/>
              </w:rPr>
              <w:t>水利局、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交通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lang w:eastAsia="zh-CN"/>
              </w:rPr>
              <w:t>运输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局、住建</w:t>
            </w:r>
          </w:p>
          <w:p>
            <w:pPr>
              <w:pStyle w:val="7"/>
              <w:spacing w:line="270" w:lineRule="exact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lang w:eastAsia="zh-CN"/>
              </w:rPr>
              <w:t>局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等可联</w:t>
            </w:r>
          </w:p>
          <w:p>
            <w:pPr>
              <w:pStyle w:val="7"/>
              <w:spacing w:line="218" w:lineRule="exact"/>
              <w:ind w:left="2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合检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166" w:type="dxa"/>
          </w:tcPr>
          <w:p>
            <w:pPr>
              <w:pStyle w:val="7"/>
              <w:spacing w:before="9" w:line="110" w:lineRule="exact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7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不定期检查</w:t>
            </w:r>
          </w:p>
        </w:tc>
        <w:tc>
          <w:tcPr>
            <w:tcW w:w="5558" w:type="dxa"/>
          </w:tcPr>
          <w:p>
            <w:pPr>
              <w:pStyle w:val="7"/>
              <w:spacing w:before="47" w:line="240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《中华人民共和国防洪法》第二十八条对于河道、湖泊管理</w:t>
            </w:r>
          </w:p>
          <w:p>
            <w:pPr>
              <w:pStyle w:val="7"/>
              <w:spacing w:line="21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范围内依照本法规定建设的工程设施，水行政主管部门有权依</w:t>
            </w:r>
          </w:p>
          <w:p>
            <w:pPr>
              <w:pStyle w:val="7"/>
              <w:spacing w:line="21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法检查；水行政主管部门检查时，被检查者应当如实提供有关</w:t>
            </w:r>
          </w:p>
          <w:p>
            <w:pPr>
              <w:pStyle w:val="7"/>
              <w:spacing w:line="217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的情况和资料。</w:t>
            </w:r>
          </w:p>
        </w:tc>
        <w:tc>
          <w:tcPr>
            <w:tcW w:w="74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exact"/>
        </w:trPr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3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9" w:right="38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2</w:t>
            </w:r>
          </w:p>
        </w:tc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3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12" w:type="dxa"/>
          </w:tcPr>
          <w:p>
            <w:pPr>
              <w:pStyle w:val="7"/>
              <w:spacing w:before="8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5" w:lineRule="auto"/>
              <w:ind w:left="64" w:right="49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对于河道、湖泊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管理范围内工程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设施的检查</w:t>
            </w:r>
          </w:p>
        </w:tc>
        <w:tc>
          <w:tcPr>
            <w:tcW w:w="1080" w:type="dxa"/>
          </w:tcPr>
          <w:p>
            <w:pPr>
              <w:pStyle w:val="7"/>
              <w:spacing w:before="2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8" w:lineRule="exact"/>
              <w:ind w:left="337" w:right="0" w:hanging="305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防洪、地质</w:t>
            </w:r>
            <w:r>
              <w:rPr>
                <w:rFonts w:ascii="方正仿宋_GBK" w:hAnsi="方正仿宋_GBK" w:eastAsia="方正仿宋_GBK" w:cs="方正仿宋_GBK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灾害</w:t>
            </w:r>
          </w:p>
        </w:tc>
        <w:tc>
          <w:tcPr>
            <w:tcW w:w="1210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3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82" w:right="465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66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3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7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3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66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3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7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不定期检查</w:t>
            </w:r>
          </w:p>
        </w:tc>
        <w:tc>
          <w:tcPr>
            <w:tcW w:w="5558" w:type="dxa"/>
          </w:tcPr>
          <w:p>
            <w:pPr>
              <w:pStyle w:val="7"/>
              <w:spacing w:before="62" w:line="205" w:lineRule="auto"/>
              <w:ind w:left="30" w:right="56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《中华人民共和国防洪法》第二十八条对于河道、湖泊管理范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围内依照本法规定建设的工程设施，水行政主管部门有权依法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检查；水行政主管部门检查时，被检查者应当如实提供有关的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情况和资料。</w:t>
            </w:r>
          </w:p>
        </w:tc>
        <w:tc>
          <w:tcPr>
            <w:tcW w:w="74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1" w:hRule="exact"/>
        </w:trPr>
        <w:tc>
          <w:tcPr>
            <w:tcW w:w="1037" w:type="dxa"/>
          </w:tcPr>
          <w:p>
            <w:pPr>
              <w:pStyle w:val="7"/>
              <w:spacing w:before="5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9" w:right="382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hint="eastAsia" w:ascii="方正仿宋_GBK" w:eastAsia="方正仿宋_GBK"/>
                <w:sz w:val="20"/>
                <w:lang w:val="en-US" w:eastAsia="zh-CN"/>
              </w:rPr>
              <w:t>3</w:t>
            </w:r>
          </w:p>
        </w:tc>
        <w:tc>
          <w:tcPr>
            <w:tcW w:w="1037" w:type="dxa"/>
          </w:tcPr>
          <w:p>
            <w:pPr>
              <w:pStyle w:val="7"/>
              <w:spacing w:before="5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12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4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8" w:lineRule="exact"/>
              <w:ind w:left="452" w:right="0" w:hanging="405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对汛前防汛工作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的检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080" w:type="dxa"/>
          </w:tcPr>
          <w:p>
            <w:pPr>
              <w:pStyle w:val="7"/>
              <w:spacing w:before="5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3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防洪</w:t>
            </w:r>
          </w:p>
        </w:tc>
        <w:tc>
          <w:tcPr>
            <w:tcW w:w="1210" w:type="dxa"/>
          </w:tcPr>
          <w:p>
            <w:pPr>
              <w:pStyle w:val="7"/>
              <w:spacing w:before="5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82" w:right="465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66" w:type="dxa"/>
          </w:tcPr>
          <w:p>
            <w:pPr>
              <w:pStyle w:val="7"/>
              <w:spacing w:before="5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7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line="150" w:lineRule="exact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4" w:lineRule="auto"/>
              <w:ind w:left="111" w:right="99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相关部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门可联合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检查</w:t>
            </w:r>
          </w:p>
        </w:tc>
        <w:tc>
          <w:tcPr>
            <w:tcW w:w="1166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7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04" w:lineRule="auto"/>
              <w:ind w:left="75" w:right="6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巡查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+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不定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期检查（不</w:t>
            </w:r>
            <w:r>
              <w:rPr>
                <w:rFonts w:ascii="方正仿宋_GBK" w:hAnsi="方正仿宋_GBK" w:eastAsia="方正仿宋_GBK" w:cs="方正仿宋_GBK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少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于</w:t>
            </w:r>
            <w:r>
              <w:rPr>
                <w:rFonts w:ascii="方正仿宋_GBK" w:hAnsi="方正仿宋_GBK" w:eastAsia="方正仿宋_GBK" w:cs="方正仿宋_GBK"/>
                <w:spacing w:val="-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</w:p>
          <w:p>
            <w:pPr>
              <w:pStyle w:val="7"/>
              <w:spacing w:line="257" w:lineRule="exact"/>
              <w:ind w:left="54" w:right="4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/月）</w:t>
            </w:r>
          </w:p>
        </w:tc>
        <w:tc>
          <w:tcPr>
            <w:tcW w:w="5558" w:type="dxa"/>
          </w:tcPr>
          <w:p>
            <w:pPr>
              <w:pStyle w:val="7"/>
              <w:spacing w:line="215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1.《中华人民共和国防汛条例》第十五条各级防汛指挥部应当</w:t>
            </w:r>
          </w:p>
          <w:p>
            <w:pPr>
              <w:pStyle w:val="7"/>
              <w:spacing w:before="14" w:line="205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在汛前对各类防洪设施组织检查，发现影响防洪安全的问题，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责成责任单位在规定的期限内处理，不得贻误防汛抗洪工作。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各有关部门和单位按照防汛指挥部的统一部署，对所管辖的防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洪工程设施进行汛前检查后，必须将影响防洪安全的问题和处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理措施报有管辖权的防汛指挥部和上级主管部门，并按照该防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汛指挥部的要求予以处理。</w:t>
            </w:r>
            <w:r>
              <w:rPr>
                <w:rFonts w:ascii="方正仿宋_GBK" w:hAnsi="方正仿宋_GBK" w:eastAsia="方正仿宋_GBK" w:cs="方正仿宋_GBK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2.《中华人民共和国防汛条例》第十八条山洪、泥石流易发地</w:t>
            </w:r>
            <w:r>
              <w:rPr>
                <w:rFonts w:ascii="方正仿宋_GBK" w:hAnsi="方正仿宋_GBK" w:eastAsia="方正仿宋_GBK" w:cs="方正仿宋_GBK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区，当地有关部门应当指定预防监测员及时监测。雨季到来之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前，当地人民政府防汛指挥部应当组织有关单位进行安全检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查，对险情征兆明显的地区，应当及时把群众撤离险区。风暴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潮易发地区，当地有关部门应当加强对水库、海堤、闸坝、高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压电线等设施和房屋的安全检查，发现影响安全的问题，及时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处理。</w:t>
            </w:r>
          </w:p>
        </w:tc>
        <w:tc>
          <w:tcPr>
            <w:tcW w:w="74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9" w:hRule="exact"/>
        </w:trPr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4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399" w:right="382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4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12" w:type="dxa"/>
          </w:tcPr>
          <w:p>
            <w:pPr>
              <w:pStyle w:val="7"/>
              <w:spacing w:before="5"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5" w:lineRule="auto"/>
              <w:ind w:left="64" w:right="49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对水利工程质量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检测单位及其质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量检测活动的监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督检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080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4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133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水利工程</w:t>
            </w:r>
          </w:p>
        </w:tc>
        <w:tc>
          <w:tcPr>
            <w:tcW w:w="1210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4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482" w:right="465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66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4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37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4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66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4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70" w:lineRule="exact"/>
              <w:ind w:left="17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3" w:line="248" w:lineRule="exact"/>
              <w:ind w:left="378" w:right="0" w:hanging="178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-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/半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年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）</w:t>
            </w:r>
          </w:p>
        </w:tc>
        <w:tc>
          <w:tcPr>
            <w:tcW w:w="5558" w:type="dxa"/>
          </w:tcPr>
          <w:p>
            <w:pPr>
              <w:pStyle w:val="7"/>
              <w:spacing w:before="73" w:line="205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《水利工程质量检测管理规定》（中华人民共和国水利部令第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36号）第二十一条县级以上人民政府水行政主管部门应当加强</w:t>
            </w:r>
            <w:r>
              <w:rPr>
                <w:rFonts w:ascii="方正仿宋_GBK" w:hAnsi="方正仿宋_GBK" w:eastAsia="方正仿宋_GBK" w:cs="方正仿宋_GBK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对检测单位及其质量检测活动的监督检查，主要检查下列内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容：（一）是否符合资质等级标准；（二）是否有涂改、倒卖</w:t>
            </w:r>
          </w:p>
          <w:p>
            <w:pPr>
              <w:pStyle w:val="7"/>
              <w:spacing w:line="204" w:lineRule="auto"/>
              <w:ind w:left="30" w:right="55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、出租、出借或者以其他形式非法转让《资质等级证书》的行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为；（三）是否存在转包、违规分包检测业务及租借、挂靠资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质等违规行为；（四）是否按照有关标准和规定进行检测；</w:t>
            </w:r>
          </w:p>
          <w:p>
            <w:pPr>
              <w:pStyle w:val="7"/>
              <w:spacing w:before="8" w:line="250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（五）是否按照规定在质量检测报告上签字盖章，质量检测报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告是否真实；（六）仪器设备的运行、检定和校准情况；</w:t>
            </w:r>
          </w:p>
          <w:p>
            <w:pPr>
              <w:pStyle w:val="7"/>
              <w:spacing w:before="3" w:line="246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（七）法律、法规规定的其他事项。流域管理机构应当加强对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所管辖的水利工程的质量检测活动的监督检查。</w:t>
            </w:r>
          </w:p>
        </w:tc>
        <w:tc>
          <w:tcPr>
            <w:tcW w:w="749" w:type="dxa"/>
          </w:tcPr>
          <w:p/>
        </w:tc>
      </w:tr>
    </w:tbl>
    <w:p>
      <w:pPr>
        <w:spacing w:after="0"/>
        <w:sectPr>
          <w:pgSz w:w="16840" w:h="11910" w:orient="landscape"/>
          <w:pgMar w:top="400" w:right="520" w:bottom="280" w:left="560" w:header="720" w:footer="720" w:gutter="0"/>
          <w:cols w:space="720" w:num="1"/>
        </w:sectPr>
      </w:pPr>
    </w:p>
    <w:tbl>
      <w:tblPr>
        <w:tblStyle w:val="3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512"/>
        <w:gridCol w:w="1080"/>
        <w:gridCol w:w="1210"/>
        <w:gridCol w:w="1166"/>
        <w:gridCol w:w="1037"/>
        <w:gridCol w:w="1166"/>
        <w:gridCol w:w="5558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6" w:hRule="exact"/>
        </w:trPr>
        <w:tc>
          <w:tcPr>
            <w:tcW w:w="1037" w:type="dxa"/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9" w:right="382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37" w:type="dxa"/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12" w:type="dxa"/>
          </w:tcPr>
          <w:p>
            <w:pPr>
              <w:pStyle w:val="7"/>
              <w:spacing w:before="8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5" w:lineRule="auto"/>
              <w:ind w:left="47" w:right="31" w:hanging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对水资源保护工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程、取水人的取</w:t>
            </w:r>
            <w:r>
              <w:rPr>
                <w:rFonts w:ascii="方正仿宋_GBK" w:hAnsi="方正仿宋_GBK" w:eastAsia="方正仿宋_GBK" w:cs="方正仿宋_GBK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用水情况和水资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源费缴纳进行检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080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50" w:lineRule="exact"/>
              <w:ind w:left="3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防治水害、</w:t>
            </w:r>
            <w:r>
              <w:rPr>
                <w:rFonts w:ascii="方正仿宋_GBK" w:hAnsi="方正仿宋_GBK" w:eastAsia="方正仿宋_GBK" w:cs="方正仿宋_GBK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可持续发展</w:t>
            </w:r>
          </w:p>
        </w:tc>
        <w:tc>
          <w:tcPr>
            <w:tcW w:w="1210" w:type="dxa"/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82" w:right="465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66" w:type="dxa"/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7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66" w:type="dxa"/>
          </w:tcPr>
          <w:p>
            <w:pPr>
              <w:pStyle w:val="7"/>
              <w:spacing w:before="3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70" w:lineRule="exact"/>
              <w:ind w:left="17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1" w:line="250" w:lineRule="exact"/>
              <w:ind w:left="147" w:right="0" w:hanging="19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（不少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于1</w:t>
            </w:r>
            <w:r>
              <w:rPr>
                <w:rFonts w:ascii="方正仿宋_GBK" w:hAnsi="方正仿宋_GBK" w:eastAsia="方正仿宋_GBK" w:cs="方正仿宋_GBK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季度）</w:t>
            </w:r>
          </w:p>
        </w:tc>
        <w:tc>
          <w:tcPr>
            <w:tcW w:w="5558" w:type="dxa"/>
          </w:tcPr>
          <w:p>
            <w:pPr>
              <w:pStyle w:val="7"/>
              <w:spacing w:line="205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《取水许可和水资源费征收管理条例》第四十五条县级以上</w:t>
            </w:r>
            <w:r>
              <w:rPr>
                <w:rFonts w:ascii="方正仿宋_GBK" w:hAnsi="方正仿宋_GBK" w:eastAsia="方正仿宋_GBK" w:cs="方正仿宋_GBK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人民政府水行政主管部门或者流域管理机构在进行监督检查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时，有权采取下列措施：（一）要求被检查单位或者个人提供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有关文件、证照、资料；（二）要求被检查单位或者个人就执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行本条例的有关问题作出说明；（三）进入被检查单位或者个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人的生产场所进行调查；（四）责令被检查单位或者个人停止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违反本条例的行为，履行法定义务。监督检查人员在进行监督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检查时，应当出示合法有效的行政执法证件。有关单位和个人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对监督检查工作应当给予配合，不得拒绝或者阻碍监督检查人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员依法执行公务。</w:t>
            </w:r>
          </w:p>
        </w:tc>
        <w:tc>
          <w:tcPr>
            <w:tcW w:w="74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exact"/>
        </w:trPr>
        <w:tc>
          <w:tcPr>
            <w:tcW w:w="1037" w:type="dxa"/>
            <w:vMerge w:val="restart"/>
          </w:tcPr>
          <w:p>
            <w:pPr>
              <w:pStyle w:val="7"/>
              <w:spacing w:before="4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01" w:right="382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hint="eastAsia" w:ascii="方正仿宋_GBK" w:eastAsia="方正仿宋_GBK"/>
                <w:spacing w:val="-2"/>
                <w:w w:val="85"/>
                <w:sz w:val="20"/>
                <w:lang w:val="en-US" w:eastAsia="zh-CN"/>
              </w:rPr>
              <w:t>6</w:t>
            </w:r>
          </w:p>
        </w:tc>
        <w:tc>
          <w:tcPr>
            <w:tcW w:w="1037" w:type="dxa"/>
            <w:vMerge w:val="restart"/>
          </w:tcPr>
          <w:p>
            <w:pPr>
              <w:pStyle w:val="7"/>
              <w:spacing w:before="4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12" w:type="dxa"/>
            <w:vMerge w:val="restart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2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50" w:lineRule="exact"/>
              <w:ind w:left="452" w:right="0" w:hanging="405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对旱灾后续工作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的检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080" w:type="dxa"/>
            <w:vMerge w:val="restart"/>
          </w:tcPr>
          <w:p>
            <w:pPr>
              <w:pStyle w:val="7"/>
              <w:spacing w:before="4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33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防旱减灾</w:t>
            </w:r>
          </w:p>
        </w:tc>
        <w:tc>
          <w:tcPr>
            <w:tcW w:w="1210" w:type="dxa"/>
            <w:vMerge w:val="restart"/>
          </w:tcPr>
          <w:p>
            <w:pPr>
              <w:pStyle w:val="7"/>
              <w:spacing w:before="4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82" w:right="465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66" w:type="dxa"/>
            <w:vMerge w:val="restart"/>
          </w:tcPr>
          <w:p>
            <w:pPr>
              <w:pStyle w:val="7"/>
              <w:spacing w:before="4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7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vMerge w:val="restart"/>
          </w:tcPr>
          <w:p>
            <w:pPr>
              <w:pStyle w:val="7"/>
              <w:spacing w:before="4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66" w:type="dxa"/>
            <w:vMerge w:val="restart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4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70" w:lineRule="exact"/>
              <w:ind w:left="17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3" w:line="248" w:lineRule="exact"/>
              <w:ind w:left="248" w:right="0" w:hanging="12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（不少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于1</w:t>
            </w:r>
            <w:r>
              <w:rPr>
                <w:rFonts w:ascii="方正仿宋_GBK" w:hAnsi="方正仿宋_GBK" w:eastAsia="方正仿宋_GBK" w:cs="方正仿宋_GBK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4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年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）</w:t>
            </w:r>
          </w:p>
        </w:tc>
        <w:tc>
          <w:tcPr>
            <w:tcW w:w="5558" w:type="dxa"/>
          </w:tcPr>
          <w:p>
            <w:pPr>
              <w:pStyle w:val="7"/>
              <w:spacing w:line="221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《中华人民共和国抗旱条例》第五十三条旱情缓解后，县级以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上人民政府水行政主管部门应当对水利工程进行检查评估，并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及时组织修复遭受干旱灾害损坏的水利工程；县级以上人民政</w:t>
            </w:r>
          </w:p>
          <w:p>
            <w:pPr>
              <w:pStyle w:val="7"/>
              <w:spacing w:line="20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府有关主管部门应当将遭受干旱灾害损坏的水利工程，优先列</w:t>
            </w:r>
          </w:p>
          <w:p>
            <w:pPr>
              <w:pStyle w:val="7"/>
              <w:spacing w:line="24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入年度修复建设计划。</w:t>
            </w:r>
          </w:p>
          <w:p>
            <w:pPr>
              <w:pStyle w:val="7"/>
              <w:spacing w:line="26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《中华人民共和国抗旱条例》第三十条各级人民政府应当对抗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旱责任制落实、抗旱预案编制、抗旱设施建设和维护、抗旱物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资储备等情况加强监督检查，发现问题应当及时处理或者责成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有关部门和单位限期处理。</w:t>
            </w:r>
          </w:p>
        </w:tc>
        <w:tc>
          <w:tcPr>
            <w:tcW w:w="749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exact"/>
        </w:trPr>
        <w:tc>
          <w:tcPr>
            <w:tcW w:w="1037" w:type="dxa"/>
          </w:tcPr>
          <w:p>
            <w:pPr>
              <w:pStyle w:val="7"/>
              <w:spacing w:before="8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401" w:right="382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hint="eastAsia" w:ascii="方正仿宋_GBK" w:eastAsia="方正仿宋_GBK"/>
                <w:spacing w:val="-1"/>
                <w:w w:val="75"/>
                <w:sz w:val="20"/>
                <w:lang w:val="en-US" w:eastAsia="zh-CN"/>
              </w:rPr>
              <w:t>7</w:t>
            </w:r>
          </w:p>
        </w:tc>
        <w:tc>
          <w:tcPr>
            <w:tcW w:w="1037" w:type="dxa"/>
          </w:tcPr>
          <w:p>
            <w:pPr>
              <w:pStyle w:val="7"/>
              <w:spacing w:before="8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12" w:type="dxa"/>
          </w:tcPr>
          <w:p>
            <w:pPr>
              <w:pStyle w:val="7"/>
              <w:spacing w:line="205" w:lineRule="auto"/>
              <w:ind w:left="64" w:right="49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生产建设项目水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土保持方案实施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情况跟踪检查</w:t>
            </w:r>
          </w:p>
        </w:tc>
        <w:tc>
          <w:tcPr>
            <w:tcW w:w="1080" w:type="dxa"/>
          </w:tcPr>
          <w:p>
            <w:pPr>
              <w:pStyle w:val="7"/>
              <w:spacing w:before="8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3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可持续发展</w:t>
            </w:r>
          </w:p>
        </w:tc>
        <w:tc>
          <w:tcPr>
            <w:tcW w:w="1210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82" w:right="465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66" w:type="dxa"/>
          </w:tcPr>
          <w:p>
            <w:pPr>
              <w:pStyle w:val="7"/>
              <w:spacing w:before="8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37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before="8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66" w:type="dxa"/>
          </w:tcPr>
          <w:p>
            <w:pPr>
              <w:pStyle w:val="7"/>
              <w:spacing w:line="270" w:lineRule="exact"/>
              <w:ind w:left="17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3" w:line="248" w:lineRule="exact"/>
              <w:ind w:left="378" w:right="0" w:hanging="178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-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/季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度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）</w:t>
            </w:r>
          </w:p>
        </w:tc>
        <w:tc>
          <w:tcPr>
            <w:tcW w:w="5558" w:type="dxa"/>
          </w:tcPr>
          <w:p>
            <w:pPr>
              <w:pStyle w:val="7"/>
              <w:spacing w:before="21" w:line="250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《中华人民共和国水土保持法》第二十九条县级以上人民政府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水行政主管部门、流域管理机构，应当对生产建设项目水土保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持方案的实施情况进行跟踪检查，发现问题及时处理。</w:t>
            </w:r>
          </w:p>
        </w:tc>
        <w:tc>
          <w:tcPr>
            <w:tcW w:w="74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exact"/>
        </w:trPr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01" w:right="382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hint="eastAsia" w:ascii="方正仿宋_GBK" w:eastAsia="方正仿宋_GBK"/>
                <w:spacing w:val="-2"/>
                <w:w w:val="85"/>
                <w:sz w:val="20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12" w:type="dxa"/>
          </w:tcPr>
          <w:p>
            <w:pPr>
              <w:pStyle w:val="7"/>
              <w:spacing w:before="7" w:line="130" w:lineRule="exact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50" w:lineRule="exact"/>
              <w:ind w:left="248" w:right="0" w:hanging="201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水利工程建设质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量监督检查</w:t>
            </w:r>
          </w:p>
        </w:tc>
        <w:tc>
          <w:tcPr>
            <w:tcW w:w="1080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33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水利工程</w:t>
            </w:r>
          </w:p>
        </w:tc>
        <w:tc>
          <w:tcPr>
            <w:tcW w:w="1210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82" w:right="465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66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7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66" w:type="dxa"/>
          </w:tcPr>
          <w:p>
            <w:pPr>
              <w:pStyle w:val="7"/>
              <w:spacing w:before="10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70" w:lineRule="exact"/>
              <w:ind w:left="7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不定期检查</w:t>
            </w:r>
          </w:p>
          <w:p>
            <w:pPr>
              <w:pStyle w:val="7"/>
              <w:spacing w:before="21" w:line="250" w:lineRule="exact"/>
              <w:ind w:left="147" w:right="0" w:hanging="19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（不少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于1</w:t>
            </w:r>
            <w:r>
              <w:rPr>
                <w:rFonts w:ascii="方正仿宋_GBK" w:hAnsi="方正仿宋_GBK" w:eastAsia="方正仿宋_GBK" w:cs="方正仿宋_GBK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季度）</w:t>
            </w:r>
          </w:p>
        </w:tc>
        <w:tc>
          <w:tcPr>
            <w:tcW w:w="5558" w:type="dxa"/>
          </w:tcPr>
          <w:p>
            <w:pPr>
              <w:pStyle w:val="7"/>
              <w:spacing w:before="2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1.《水利工程质量管理规定》（中华人民共和国水利部令第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50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号）第十二条水利工程质量监督机构负责监督设计、监理、施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工单位在其资质等级允许范围内从事水利工程建设的质量工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作；负责检查、督促建设、监理、设计、施工单位建立健全质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量体系。水利工程质量监督机构，按照国家和水利行业有关工</w:t>
            </w:r>
          </w:p>
          <w:p>
            <w:pPr>
              <w:pStyle w:val="7"/>
              <w:spacing w:line="20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程建设法规、技术标准和设计文件实施工程质量监督，对施工</w:t>
            </w:r>
          </w:p>
          <w:p>
            <w:pPr>
              <w:pStyle w:val="7"/>
              <w:spacing w:before="14" w:line="205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现场影响工程质量的行为进行监督检查。</w:t>
            </w:r>
          </w:p>
          <w:p>
            <w:pPr>
              <w:pStyle w:val="7"/>
              <w:spacing w:before="14" w:line="205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2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《水利工程质量管理规定》（中华人民共和国水利部令第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4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9</w:t>
            </w:r>
            <w:r>
              <w:rPr>
                <w:rFonts w:ascii="方正仿宋_GBK" w:hAnsi="方正仿宋_GBK" w:eastAsia="方正仿宋_GBK" w:cs="方正仿宋_GBK"/>
                <w:spacing w:val="28"/>
                <w:w w:val="103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号）第十条政府对水利工程的质量实行监督的制度。水利工程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按照分级管理的原则由相应水行政主管部门授权的质量监督机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构实施质量监督。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3.《建设工程质量管理条例》第四十七条县级以上地方人民政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府建设行政主管部门和其他有关部门应当加强对有关建设工程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质量的法律、法规和强制性标准执行情况的监督检查。</w:t>
            </w:r>
          </w:p>
        </w:tc>
        <w:tc>
          <w:tcPr>
            <w:tcW w:w="749" w:type="dxa"/>
          </w:tcPr>
          <w:p/>
        </w:tc>
      </w:tr>
    </w:tbl>
    <w:p/>
    <w:sectPr>
      <w:pgSz w:w="16840" w:h="11910" w:orient="landscape"/>
      <w:pgMar w:top="400" w:right="52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zlmZjlkZjAzMjYxNmNkYzVlYTMyMmRiMmE3YmQ1ZWMifQ=="/>
  </w:docVars>
  <w:rsids>
    <w:rsidRoot w:val="00000000"/>
    <w:rsid w:val="27BC0C49"/>
    <w:rsid w:val="43801240"/>
    <w:rsid w:val="64193792"/>
    <w:rsid w:val="65FDC2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884"/>
    </w:pPr>
    <w:rPr>
      <w:rFonts w:ascii="方正小标宋_GBK" w:hAnsi="方正小标宋_GBK" w:eastAsia="方正小标宋_GBK"/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3568</Words>
  <Characters>3597</Characters>
  <TotalTime>4</TotalTime>
  <ScaleCrop>false</ScaleCrop>
  <LinksUpToDate>false</LinksUpToDate>
  <CharactersWithSpaces>3690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2022-12-24T18:24:00Z</dcterms:created>
  <dc:creator>22673</dc:creator>
  <cp:lastModifiedBy>greatwall</cp:lastModifiedBy>
  <dcterms:modified xsi:type="dcterms:W3CDTF">2022-12-26T10:09:21Z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2022-12-24T00:00:00Z</vt:filetime>
  </property>
  <property fmtid="{D5CDD505-2E9C-101B-9397-08002B2CF9AE}" pid="4" name="KSOProductBuildVer">
    <vt:lpwstr>2052-11.8.2.10251</vt:lpwstr>
  </property>
  <property fmtid="{D5CDD505-2E9C-101B-9397-08002B2CF9AE}" pid="5" name="ICV">
    <vt:lpwstr>461F41A6C8DA4672B95B40DE0F0BCCC2</vt:lpwstr>
  </property>
</Properties>
</file>