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94" w:lineRule="exact"/>
        <w:ind w:left="2496" w:leftChars="0" w:right="0" w:hanging="2496" w:hangingChars="618"/>
        <w:jc w:val="center"/>
        <w:rPr>
          <w:rFonts w:hint="eastAsia"/>
          <w:spacing w:val="2"/>
          <w:lang w:eastAsia="zh-CN"/>
        </w:rPr>
      </w:pPr>
    </w:p>
    <w:p>
      <w:pPr>
        <w:pStyle w:val="2"/>
        <w:spacing w:line="494" w:lineRule="exact"/>
        <w:ind w:left="2496" w:leftChars="0" w:right="0" w:hanging="2496" w:hangingChars="618"/>
        <w:jc w:val="center"/>
        <w:rPr>
          <w:rFonts w:hint="eastAsia"/>
          <w:spacing w:val="2"/>
          <w:lang w:eastAsia="zh-CN"/>
        </w:rPr>
      </w:pPr>
    </w:p>
    <w:p>
      <w:pPr>
        <w:pStyle w:val="2"/>
        <w:spacing w:line="494" w:lineRule="exact"/>
        <w:ind w:left="2496" w:leftChars="0" w:right="0" w:hanging="2496" w:hangingChars="618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民政局涉企现场检查清单（2022年版）</w:t>
      </w:r>
    </w:p>
    <w:tbl>
      <w:tblPr>
        <w:tblStyle w:val="3"/>
        <w:tblW w:w="0" w:type="auto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12"/>
        <w:gridCol w:w="1138"/>
        <w:gridCol w:w="1022"/>
        <w:gridCol w:w="1037"/>
        <w:gridCol w:w="1037"/>
        <w:gridCol w:w="1037"/>
        <w:gridCol w:w="5184"/>
        <w:gridCol w:w="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2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6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14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02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30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7" w:lineRule="exact"/>
              <w:ind w:left="15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3" w:lineRule="exact"/>
              <w:ind w:left="15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3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18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20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9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实施清单名称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8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02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18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67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tbl>
      <w:tblPr>
        <w:tblStyle w:val="3"/>
        <w:tblpPr w:leftFromText="180" w:rightFromText="180" w:vertAnchor="text" w:horzAnchor="page" w:tblpX="1028" w:tblpY="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512"/>
        <w:gridCol w:w="1138"/>
        <w:gridCol w:w="1022"/>
        <w:gridCol w:w="1037"/>
        <w:gridCol w:w="1037"/>
        <w:gridCol w:w="1037"/>
        <w:gridCol w:w="5184"/>
        <w:gridCol w:w="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1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sz w:val="20"/>
                <w:lang w:val="en-US" w:eastAsia="zh-CN"/>
              </w:rPr>
              <w:t>1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46" w:right="3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对慈善活动和慈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善组织的监督检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查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社会团体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8" w:right="37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13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4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70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line="270" w:lineRule="exact"/>
              <w:ind w:left="3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1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19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1.《中华人民共和国慈善法》第九十二条县级以上人民政</w:t>
            </w:r>
          </w:p>
          <w:p>
            <w:pPr>
              <w:pStyle w:val="7"/>
              <w:spacing w:before="13" w:line="205" w:lineRule="auto"/>
              <w:ind w:left="30" w:right="85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府民政部门应当依法履行职责，对慈善活动进行监督检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查，对慈善行业组织进行指导。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2.《中华人民共和国慈善法》第九十四条县级以上人民政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府民政部门对慈善组织、有关单位和个人进行检查或者调查时，检查人员或者调查人员不得少于二人，并应当出示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合法证件和检查、调查通知书。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3.《中华人民共和国慈善法》第九十三条县级以上人民政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府民政部门对涉嫌违反本法规定的慈善组织，有权采取下列措施：（一）对慈善组织的住所和慈善活动发生地进行现场检查；（二）要求慈善组织作出说明，查阅、复制有关资料；（三）向与慈善活动有关的单位和个人调查与监督管理有关的情况；（四）经本级人民政府批准，可以查询慈善组织的金融账户；（五）法律、行政法规规定的其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4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22" w:right="1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w w:val="95"/>
                <w:sz w:val="20"/>
                <w:lang w:val="en-US" w:eastAsia="zh-CN"/>
              </w:rPr>
              <w:t>2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3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8" w:lineRule="exact"/>
              <w:ind w:left="349" w:right="0" w:hanging="303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对养老机构进行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监督检查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69" w:lineRule="exact"/>
              <w:ind w:left="40" w:right="2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民办非企业</w:t>
            </w:r>
          </w:p>
          <w:p>
            <w:pPr>
              <w:pStyle w:val="7"/>
              <w:spacing w:line="269" w:lineRule="exact"/>
              <w:ind w:left="40" w:right="26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、企业</w:t>
            </w:r>
          </w:p>
        </w:tc>
        <w:tc>
          <w:tcPr>
            <w:tcW w:w="102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88" w:right="372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13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4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民政局、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人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社局</w:t>
            </w:r>
          </w:p>
          <w:p>
            <w:pPr>
              <w:pStyle w:val="7"/>
              <w:spacing w:line="223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公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安</w:t>
            </w:r>
          </w:p>
          <w:p>
            <w:pPr>
              <w:pStyle w:val="7"/>
              <w:spacing w:line="202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局、卫健委、应急管理局、</w:t>
            </w:r>
          </w:p>
          <w:p>
            <w:pPr>
              <w:pStyle w:val="7"/>
              <w:spacing w:line="224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市场监管</w:t>
            </w:r>
          </w:p>
          <w:p>
            <w:pPr>
              <w:pStyle w:val="7"/>
              <w:spacing w:line="222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局可联合</w:t>
            </w:r>
          </w:p>
          <w:p>
            <w:pPr>
              <w:pStyle w:val="7"/>
              <w:spacing w:line="224" w:lineRule="exact"/>
              <w:ind w:left="313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检查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69" w:lineRule="exact"/>
              <w:ind w:left="11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line="269" w:lineRule="exact"/>
              <w:ind w:left="37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18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3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spacing w:val="1"/>
                <w:w w:val="95"/>
                <w:sz w:val="20"/>
                <w:szCs w:val="20"/>
                <w:lang w:eastAsia="zh-CN"/>
              </w:rPr>
              <w:t>湖南省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养老机构管理办法》（市政府令第326号）第五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十一条民政部门应当会同人力社保、公安、卫生健康、财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政、应急、金融、市场监管等部门定期检查和随机抽查养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老机构设施设备、服务质量、安全卫生等情况，养老机构</w:t>
            </w:r>
          </w:p>
          <w:p>
            <w:pPr>
              <w:pStyle w:val="7"/>
              <w:spacing w:line="20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应当自觉接受和配合相关部门监督检查。</w:t>
            </w:r>
          </w:p>
          <w:p>
            <w:pPr>
              <w:pStyle w:val="7"/>
              <w:spacing w:line="269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lang w:eastAsia="zh-CN"/>
              </w:rPr>
              <w:t>湖南省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老年人权益保障条例》第四十三条第三款养老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机构收取的保证金、押金等费用应当建立专户存储。保证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金、押金等费用的收支和使用情况，应当每半年向入住的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老年人公布。民政部门每年应当对养老机构收取和使用保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证金、押金等费用的情况进行监督检查。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/>
        </w:tc>
      </w:tr>
    </w:tbl>
    <w:p>
      <w:bookmarkStart w:id="0" w:name="_GoBack"/>
      <w:bookmarkEnd w:id="0"/>
    </w:p>
    <w:sectPr>
      <w:pgSz w:w="16840" w:h="11910" w:orient="landscape"/>
      <w:pgMar w:top="340" w:right="1000" w:bottom="280" w:left="9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16BF6108"/>
    <w:rsid w:val="5F7F29CE"/>
    <w:rsid w:val="5FA01C2E"/>
    <w:rsid w:val="7FAF3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500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1460</Words>
  <Characters>1479</Characters>
  <TotalTime>1</TotalTime>
  <ScaleCrop>false</ScaleCrop>
  <LinksUpToDate>false</LinksUpToDate>
  <CharactersWithSpaces>1496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2022-12-24T18:10:00Z</dcterms:created>
  <dc:creator>22673</dc:creator>
  <cp:lastModifiedBy>greatwall</cp:lastModifiedBy>
  <dcterms:modified xsi:type="dcterms:W3CDTF">2022-12-26T09:36:45Z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98071AE8B155400EB1B1404FE34E9B8D</vt:lpwstr>
  </property>
</Properties>
</file>