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ind w:left="2888" w:leftChars="0" w:right="0" w:hanging="2888" w:hangingChars="715"/>
        <w:jc w:val="center"/>
      </w:pPr>
      <w:r>
        <w:rPr>
          <w:rFonts w:hint="eastAsia"/>
          <w:spacing w:val="2"/>
          <w:lang w:eastAsia="zh-CN"/>
        </w:rPr>
        <w:t>株洲市</w:t>
      </w:r>
      <w:r>
        <w:rPr>
          <w:spacing w:val="2"/>
        </w:rPr>
        <w:t>林业局涉企现场检查清单（2022年版）</w:t>
      </w:r>
    </w:p>
    <w:tbl>
      <w:tblPr>
        <w:tblStyle w:val="3"/>
        <w:tblW w:w="0" w:type="auto"/>
        <w:tblInd w:w="99" w:type="dxa"/>
        <w:tblLayout w:type="fixed"/>
        <w:tblCellMar>
          <w:top w:w="0" w:type="dxa"/>
          <w:left w:w="0" w:type="dxa"/>
          <w:bottom w:w="0" w:type="dxa"/>
          <w:right w:w="0" w:type="dxa"/>
        </w:tblCellMar>
      </w:tblPr>
      <w:tblGrid>
        <w:gridCol w:w="1037"/>
        <w:gridCol w:w="1037"/>
        <w:gridCol w:w="1555"/>
        <w:gridCol w:w="1195"/>
        <w:gridCol w:w="1094"/>
        <w:gridCol w:w="1267"/>
        <w:gridCol w:w="1037"/>
        <w:gridCol w:w="1195"/>
        <w:gridCol w:w="5386"/>
        <w:gridCol w:w="677"/>
      </w:tblGrid>
      <w:tr>
        <w:tblPrEx>
          <w:tblCellMar>
            <w:top w:w="0" w:type="dxa"/>
            <w:left w:w="0" w:type="dxa"/>
            <w:bottom w:w="0" w:type="dxa"/>
            <w:right w:w="0" w:type="dxa"/>
          </w:tblCellMar>
        </w:tblPrEx>
        <w:trPr>
          <w:trHeight w:val="288" w:hRule="exact"/>
        </w:trPr>
        <w:tc>
          <w:tcPr>
            <w:tcW w:w="1037" w:type="dxa"/>
            <w:vMerge w:val="restart"/>
            <w:tcBorders>
              <w:top w:val="single" w:color="000000" w:sz="8" w:space="0"/>
              <w:left w:val="single" w:color="000000" w:sz="8" w:space="0"/>
              <w:right w:val="single" w:color="000000" w:sz="8" w:space="0"/>
            </w:tcBorders>
          </w:tcPr>
          <w:p>
            <w:pPr>
              <w:pStyle w:val="7"/>
              <w:spacing w:before="46" w:line="240" w:lineRule="auto"/>
              <w:ind w:left="27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3787" w:type="dxa"/>
            <w:gridSpan w:val="3"/>
            <w:tcBorders>
              <w:top w:val="single" w:color="000000" w:sz="8" w:space="0"/>
              <w:left w:val="single" w:color="000000" w:sz="8" w:space="0"/>
              <w:bottom w:val="single" w:color="000000" w:sz="8" w:space="0"/>
              <w:right w:val="single" w:color="000000" w:sz="8" w:space="0"/>
            </w:tcBorders>
          </w:tcPr>
          <w:p>
            <w:pPr>
              <w:pStyle w:val="7"/>
              <w:spacing w:line="252" w:lineRule="exact"/>
              <w:ind w:left="14"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检查事项</w:t>
            </w:r>
          </w:p>
        </w:tc>
        <w:tc>
          <w:tcPr>
            <w:tcW w:w="1094" w:type="dxa"/>
            <w:vMerge w:val="restart"/>
            <w:tcBorders>
              <w:top w:val="single" w:color="000000" w:sz="8" w:space="0"/>
              <w:left w:val="single" w:color="000000" w:sz="8" w:space="0"/>
              <w:right w:val="single" w:color="000000" w:sz="8" w:space="0"/>
            </w:tcBorders>
          </w:tcPr>
          <w:p>
            <w:pPr>
              <w:pStyle w:val="7"/>
              <w:spacing w:before="46" w:line="240" w:lineRule="auto"/>
              <w:ind w:left="66"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是否涉企</w:t>
            </w:r>
          </w:p>
        </w:tc>
        <w:tc>
          <w:tcPr>
            <w:tcW w:w="1267" w:type="dxa"/>
            <w:vMerge w:val="restart"/>
            <w:tcBorders>
              <w:top w:val="single" w:color="000000" w:sz="8" w:space="0"/>
              <w:left w:val="single" w:color="000000" w:sz="8" w:space="0"/>
              <w:right w:val="single" w:color="000000" w:sz="8" w:space="0"/>
            </w:tcBorders>
          </w:tcPr>
          <w:p>
            <w:pPr>
              <w:pStyle w:val="7"/>
              <w:spacing w:before="46" w:line="240" w:lineRule="auto"/>
              <w:ind w:left="15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检查方式</w:t>
            </w:r>
          </w:p>
        </w:tc>
        <w:tc>
          <w:tcPr>
            <w:tcW w:w="1037" w:type="dxa"/>
            <w:vMerge w:val="restart"/>
            <w:tcBorders>
              <w:top w:val="single" w:color="000000" w:sz="8" w:space="0"/>
              <w:left w:val="single" w:color="000000" w:sz="8" w:space="0"/>
              <w:right w:val="single" w:color="000000" w:sz="8" w:space="0"/>
            </w:tcBorders>
          </w:tcPr>
          <w:p>
            <w:pPr>
              <w:pStyle w:val="7"/>
              <w:spacing w:line="226" w:lineRule="exact"/>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是否联合</w:t>
            </w:r>
          </w:p>
          <w:p>
            <w:pPr>
              <w:pStyle w:val="7"/>
              <w:spacing w:line="322" w:lineRule="exact"/>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w:t>
            </w:r>
          </w:p>
        </w:tc>
        <w:tc>
          <w:tcPr>
            <w:tcW w:w="1195" w:type="dxa"/>
            <w:vMerge w:val="restart"/>
            <w:tcBorders>
              <w:top w:val="single" w:color="000000" w:sz="8" w:space="0"/>
              <w:left w:val="single" w:color="000000" w:sz="8" w:space="0"/>
              <w:right w:val="single" w:color="000000" w:sz="8" w:space="0"/>
            </w:tcBorders>
          </w:tcPr>
          <w:p>
            <w:pPr>
              <w:pStyle w:val="7"/>
              <w:spacing w:before="46" w:line="240" w:lineRule="auto"/>
              <w:ind w:left="11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检查频率</w:t>
            </w:r>
          </w:p>
        </w:tc>
        <w:tc>
          <w:tcPr>
            <w:tcW w:w="5386" w:type="dxa"/>
            <w:vMerge w:val="restart"/>
            <w:tcBorders>
              <w:top w:val="single" w:color="000000" w:sz="8" w:space="0"/>
              <w:left w:val="single" w:color="000000" w:sz="8" w:space="0"/>
              <w:right w:val="single" w:color="000000" w:sz="8" w:space="0"/>
            </w:tcBorders>
          </w:tcPr>
          <w:p>
            <w:pPr>
              <w:pStyle w:val="7"/>
              <w:spacing w:before="46" w:line="240" w:lineRule="auto"/>
              <w:ind w:left="18"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检查依据</w:t>
            </w:r>
          </w:p>
        </w:tc>
        <w:tc>
          <w:tcPr>
            <w:tcW w:w="677" w:type="dxa"/>
            <w:vMerge w:val="restart"/>
            <w:tcBorders>
              <w:top w:val="single" w:color="000000" w:sz="8" w:space="0"/>
              <w:left w:val="single" w:color="000000" w:sz="8" w:space="0"/>
              <w:right w:val="single" w:color="000000" w:sz="8" w:space="0"/>
            </w:tcBorders>
          </w:tcPr>
          <w:p>
            <w:pPr>
              <w:pStyle w:val="7"/>
              <w:spacing w:before="46" w:line="240" w:lineRule="auto"/>
              <w:ind w:left="9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备注</w:t>
            </w:r>
          </w:p>
        </w:tc>
      </w:tr>
      <w:tr>
        <w:tblPrEx>
          <w:tblCellMar>
            <w:top w:w="0" w:type="dxa"/>
            <w:left w:w="0" w:type="dxa"/>
            <w:bottom w:w="0" w:type="dxa"/>
            <w:right w:w="0" w:type="dxa"/>
          </w:tblCellMar>
        </w:tblPrEx>
        <w:trPr>
          <w:trHeight w:val="288" w:hRule="exact"/>
        </w:trPr>
        <w:tc>
          <w:tcPr>
            <w:tcW w:w="1037" w:type="dxa"/>
            <w:vMerge w:val="continue"/>
            <w:tcBorders>
              <w:left w:val="single" w:color="000000" w:sz="8" w:space="0"/>
              <w:bottom w:val="single" w:color="000000" w:sz="8" w:space="0"/>
              <w:right w:val="single" w:color="000000" w:sz="8" w:space="0"/>
            </w:tcBorders>
          </w:tcPr>
          <w:p/>
        </w:tc>
        <w:tc>
          <w:tcPr>
            <w:tcW w:w="1037" w:type="dxa"/>
            <w:tcBorders>
              <w:top w:val="single" w:color="000000" w:sz="8" w:space="0"/>
              <w:left w:val="single" w:color="000000" w:sz="8" w:space="0"/>
              <w:bottom w:val="single" w:color="000000" w:sz="8" w:space="0"/>
              <w:right w:val="single" w:color="000000" w:sz="8" w:space="0"/>
            </w:tcBorders>
          </w:tcPr>
          <w:p>
            <w:pPr>
              <w:pStyle w:val="7"/>
              <w:spacing w:line="252" w:lineRule="exact"/>
              <w:ind w:left="3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事项类型</w:t>
            </w:r>
          </w:p>
        </w:tc>
        <w:tc>
          <w:tcPr>
            <w:tcW w:w="1555" w:type="dxa"/>
            <w:tcBorders>
              <w:top w:val="single" w:color="000000" w:sz="8" w:space="0"/>
              <w:left w:val="single" w:color="000000" w:sz="8" w:space="0"/>
              <w:bottom w:val="single" w:color="000000" w:sz="8" w:space="0"/>
              <w:right w:val="single" w:color="000000" w:sz="8" w:space="0"/>
            </w:tcBorders>
          </w:tcPr>
          <w:p>
            <w:pPr>
              <w:pStyle w:val="7"/>
              <w:spacing w:line="252" w:lineRule="exact"/>
              <w:ind w:left="56"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实施清单名称</w:t>
            </w:r>
          </w:p>
        </w:tc>
        <w:tc>
          <w:tcPr>
            <w:tcW w:w="1195" w:type="dxa"/>
            <w:tcBorders>
              <w:top w:val="single" w:color="000000" w:sz="8" w:space="0"/>
              <w:left w:val="single" w:color="000000" w:sz="8" w:space="0"/>
              <w:bottom w:val="single" w:color="000000" w:sz="8" w:space="0"/>
              <w:right w:val="single" w:color="000000" w:sz="8" w:space="0"/>
            </w:tcBorders>
          </w:tcPr>
          <w:p>
            <w:pPr>
              <w:pStyle w:val="7"/>
              <w:spacing w:line="252" w:lineRule="exact"/>
              <w:ind w:left="11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所涉领域</w:t>
            </w:r>
          </w:p>
        </w:tc>
        <w:tc>
          <w:tcPr>
            <w:tcW w:w="1094" w:type="dxa"/>
            <w:vMerge w:val="continue"/>
            <w:tcBorders>
              <w:left w:val="single" w:color="000000" w:sz="8" w:space="0"/>
              <w:bottom w:val="single" w:color="000000" w:sz="8" w:space="0"/>
              <w:right w:val="single" w:color="000000" w:sz="8" w:space="0"/>
            </w:tcBorders>
          </w:tcPr>
          <w:p/>
        </w:tc>
        <w:tc>
          <w:tcPr>
            <w:tcW w:w="1267" w:type="dxa"/>
            <w:vMerge w:val="continue"/>
            <w:tcBorders>
              <w:left w:val="single" w:color="000000" w:sz="8" w:space="0"/>
              <w:bottom w:val="single" w:color="000000" w:sz="8" w:space="0"/>
              <w:right w:val="single" w:color="000000" w:sz="8" w:space="0"/>
            </w:tcBorders>
          </w:tcPr>
          <w:p/>
        </w:tc>
        <w:tc>
          <w:tcPr>
            <w:tcW w:w="1037" w:type="dxa"/>
            <w:vMerge w:val="continue"/>
            <w:tcBorders>
              <w:left w:val="single" w:color="000000" w:sz="8" w:space="0"/>
              <w:bottom w:val="single" w:color="000000" w:sz="8" w:space="0"/>
              <w:right w:val="single" w:color="000000" w:sz="8" w:space="0"/>
            </w:tcBorders>
          </w:tcPr>
          <w:p/>
        </w:tc>
        <w:tc>
          <w:tcPr>
            <w:tcW w:w="1195" w:type="dxa"/>
            <w:vMerge w:val="continue"/>
            <w:tcBorders>
              <w:left w:val="single" w:color="000000" w:sz="8" w:space="0"/>
              <w:bottom w:val="single" w:color="000000" w:sz="8" w:space="0"/>
              <w:right w:val="single" w:color="000000" w:sz="8" w:space="0"/>
            </w:tcBorders>
          </w:tcPr>
          <w:p/>
        </w:tc>
        <w:tc>
          <w:tcPr>
            <w:tcW w:w="5386" w:type="dxa"/>
            <w:vMerge w:val="continue"/>
            <w:tcBorders>
              <w:left w:val="single" w:color="000000" w:sz="8" w:space="0"/>
              <w:bottom w:val="single" w:color="000000" w:sz="8" w:space="0"/>
              <w:right w:val="single" w:color="000000" w:sz="8" w:space="0"/>
            </w:tcBorders>
          </w:tcPr>
          <w:p/>
        </w:tc>
        <w:tc>
          <w:tcPr>
            <w:tcW w:w="677" w:type="dxa"/>
            <w:vMerge w:val="continue"/>
            <w:tcBorders>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3468"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before="4" w:line="130" w:lineRule="exact"/>
              <w:ind w:right="0"/>
              <w:jc w:val="left"/>
              <w:rPr>
                <w:sz w:val="13"/>
                <w:szCs w:val="13"/>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47" w:right="430"/>
              <w:jc w:val="center"/>
              <w:rPr>
                <w:rFonts w:ascii="方正仿宋_GBK" w:hAnsi="方正仿宋_GBK" w:eastAsia="方正仿宋_GBK" w:cs="方正仿宋_GBK"/>
                <w:sz w:val="20"/>
                <w:szCs w:val="20"/>
              </w:rPr>
            </w:pPr>
            <w:r>
              <w:rPr>
                <w:rFonts w:ascii="方正仿宋_GBK"/>
                <w:w w:val="75"/>
                <w:sz w:val="20"/>
              </w:rPr>
              <w:t>1</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4" w:line="130" w:lineRule="exact"/>
              <w:ind w:right="0"/>
              <w:jc w:val="left"/>
              <w:rPr>
                <w:sz w:val="13"/>
                <w:szCs w:val="13"/>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55"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0" w:line="260" w:lineRule="exact"/>
              <w:ind w:right="0"/>
              <w:jc w:val="left"/>
              <w:rPr>
                <w:sz w:val="26"/>
                <w:szCs w:val="26"/>
              </w:rPr>
            </w:pPr>
          </w:p>
          <w:p>
            <w:pPr>
              <w:pStyle w:val="7"/>
              <w:spacing w:line="205" w:lineRule="auto"/>
              <w:ind w:left="68" w:right="53" w:hanging="1"/>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对可能被植物检</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疫对象污染的包</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装材料、运载工</w:t>
            </w:r>
            <w:r>
              <w:rPr>
                <w:rFonts w:ascii="方正仿宋_GBK" w:hAnsi="方正仿宋_GBK" w:eastAsia="方正仿宋_GBK" w:cs="方正仿宋_GBK"/>
                <w:spacing w:val="25"/>
                <w:w w:val="99"/>
                <w:sz w:val="20"/>
                <w:szCs w:val="20"/>
              </w:rPr>
              <w:t xml:space="preserve"> </w:t>
            </w:r>
            <w:r>
              <w:rPr>
                <w:rFonts w:ascii="方正仿宋_GBK" w:hAnsi="方正仿宋_GBK" w:eastAsia="方正仿宋_GBK" w:cs="方正仿宋_GBK"/>
                <w:spacing w:val="1"/>
                <w:w w:val="95"/>
                <w:sz w:val="20"/>
                <w:szCs w:val="20"/>
              </w:rPr>
              <w:t>具、场地、仓库</w:t>
            </w:r>
            <w:r>
              <w:rPr>
                <w:rFonts w:ascii="方正仿宋_GBK" w:hAnsi="方正仿宋_GBK" w:eastAsia="方正仿宋_GBK" w:cs="方正仿宋_GBK"/>
                <w:spacing w:val="25"/>
                <w:w w:val="99"/>
                <w:sz w:val="20"/>
                <w:szCs w:val="20"/>
              </w:rPr>
              <w:t xml:space="preserve"> </w:t>
            </w:r>
            <w:r>
              <w:rPr>
                <w:rFonts w:ascii="方正仿宋_GBK" w:hAnsi="方正仿宋_GBK" w:eastAsia="方正仿宋_GBK" w:cs="方正仿宋_GBK"/>
                <w:spacing w:val="2"/>
                <w:sz w:val="20"/>
                <w:szCs w:val="20"/>
              </w:rPr>
              <w:t>等的检疫</w:t>
            </w:r>
          </w:p>
        </w:tc>
        <w:tc>
          <w:tcPr>
            <w:tcW w:w="1195" w:type="dxa"/>
            <w:tcBorders>
              <w:top w:val="single" w:color="000000" w:sz="8" w:space="0"/>
              <w:left w:val="single" w:color="000000" w:sz="8" w:space="0"/>
              <w:bottom w:val="single" w:color="000000" w:sz="8" w:space="0"/>
              <w:right w:val="single" w:color="000000" w:sz="8" w:space="0"/>
            </w:tcBorders>
          </w:tcPr>
          <w:p>
            <w:pPr>
              <w:pStyle w:val="7"/>
              <w:spacing w:before="4" w:line="130" w:lineRule="exact"/>
              <w:ind w:right="0"/>
              <w:jc w:val="left"/>
              <w:rPr>
                <w:sz w:val="13"/>
                <w:szCs w:val="13"/>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9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植物检疫</w:t>
            </w:r>
          </w:p>
        </w:tc>
        <w:tc>
          <w:tcPr>
            <w:tcW w:w="1094" w:type="dxa"/>
            <w:tcBorders>
              <w:top w:val="single" w:color="000000" w:sz="8" w:space="0"/>
              <w:left w:val="single" w:color="000000" w:sz="8" w:space="0"/>
              <w:bottom w:val="single" w:color="000000" w:sz="8" w:space="0"/>
              <w:right w:val="single" w:color="000000" w:sz="8" w:space="0"/>
            </w:tcBorders>
          </w:tcPr>
          <w:p>
            <w:pPr>
              <w:pStyle w:val="7"/>
              <w:spacing w:before="4" w:line="130" w:lineRule="exact"/>
              <w:ind w:right="0"/>
              <w:jc w:val="left"/>
              <w:rPr>
                <w:sz w:val="13"/>
                <w:szCs w:val="13"/>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22" w:right="41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67" w:type="dxa"/>
            <w:tcBorders>
              <w:top w:val="single" w:color="000000" w:sz="8" w:space="0"/>
              <w:left w:val="single" w:color="000000" w:sz="8" w:space="0"/>
              <w:bottom w:val="single" w:color="000000" w:sz="8" w:space="0"/>
              <w:right w:val="single" w:color="000000" w:sz="8" w:space="0"/>
            </w:tcBorders>
          </w:tcPr>
          <w:p>
            <w:pPr>
              <w:pStyle w:val="7"/>
              <w:spacing w:before="4" w:line="130" w:lineRule="exact"/>
              <w:ind w:right="0"/>
              <w:jc w:val="left"/>
              <w:rPr>
                <w:sz w:val="13"/>
                <w:szCs w:val="13"/>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08" w:right="396"/>
              <w:jc w:val="center"/>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4" w:line="130" w:lineRule="exact"/>
              <w:ind w:right="0"/>
              <w:jc w:val="left"/>
              <w:rPr>
                <w:sz w:val="13"/>
                <w:szCs w:val="13"/>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6" w:right="0"/>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95" w:type="dxa"/>
            <w:tcBorders>
              <w:top w:val="single" w:color="000000" w:sz="8" w:space="0"/>
              <w:left w:val="single" w:color="000000" w:sz="8" w:space="0"/>
              <w:bottom w:val="single" w:color="000000" w:sz="8" w:space="0"/>
              <w:right w:val="single" w:color="000000" w:sz="8" w:space="0"/>
            </w:tcBorders>
          </w:tcPr>
          <w:p>
            <w:pPr>
              <w:pStyle w:val="7"/>
              <w:spacing w:before="4" w:line="130" w:lineRule="exact"/>
              <w:ind w:right="0"/>
              <w:jc w:val="left"/>
              <w:rPr>
                <w:sz w:val="13"/>
                <w:szCs w:val="13"/>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9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5386" w:type="dxa"/>
            <w:tcBorders>
              <w:top w:val="single" w:color="000000" w:sz="8" w:space="0"/>
              <w:left w:val="single" w:color="000000" w:sz="8" w:space="0"/>
              <w:bottom w:val="single" w:color="000000" w:sz="8" w:space="0"/>
              <w:right w:val="single" w:color="000000" w:sz="8" w:space="0"/>
            </w:tcBorders>
          </w:tcPr>
          <w:p>
            <w:pPr>
              <w:pStyle w:val="7"/>
              <w:spacing w:before="7" w:line="190" w:lineRule="exact"/>
              <w:ind w:right="0"/>
              <w:jc w:val="left"/>
              <w:rPr>
                <w:sz w:val="19"/>
                <w:szCs w:val="19"/>
              </w:rPr>
            </w:pPr>
          </w:p>
          <w:p>
            <w:pPr>
              <w:pStyle w:val="7"/>
              <w:spacing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《植物检疫条例》第八条第三款对可能被植物检疫对象污</w:t>
            </w:r>
            <w:r>
              <w:rPr>
                <w:rFonts w:ascii="方正仿宋_GBK" w:hAnsi="方正仿宋_GBK" w:eastAsia="方正仿宋_GBK" w:cs="方正仿宋_GBK"/>
                <w:spacing w:val="30"/>
                <w:w w:val="99"/>
                <w:sz w:val="20"/>
                <w:szCs w:val="20"/>
              </w:rPr>
              <w:t xml:space="preserve"> </w:t>
            </w:r>
            <w:r>
              <w:rPr>
                <w:rFonts w:ascii="方正仿宋_GBK" w:hAnsi="方正仿宋_GBK" w:eastAsia="方正仿宋_GBK" w:cs="方正仿宋_GBK"/>
                <w:spacing w:val="1"/>
                <w:w w:val="95"/>
                <w:sz w:val="20"/>
                <w:szCs w:val="20"/>
              </w:rPr>
              <w:t>染的包装材料、运载工具、场地、仓库等，也应实施检疫。</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如已被污染，托运人应按植物检疫机构的要求处理。</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2"/>
                <w:sz w:val="20"/>
                <w:szCs w:val="20"/>
              </w:rPr>
              <w:t>2.《植物检疫条例实施细则（林业部分）》（中华人民共和</w:t>
            </w:r>
            <w:r>
              <w:rPr>
                <w:rFonts w:ascii="方正仿宋_GBK" w:hAnsi="方正仿宋_GBK" w:eastAsia="方正仿宋_GBK" w:cs="方正仿宋_GBK"/>
                <w:spacing w:val="32"/>
                <w:w w:val="99"/>
                <w:sz w:val="20"/>
                <w:szCs w:val="20"/>
              </w:rPr>
              <w:t xml:space="preserve"> </w:t>
            </w:r>
            <w:r>
              <w:rPr>
                <w:rFonts w:ascii="方正仿宋_GBK" w:hAnsi="方正仿宋_GBK" w:eastAsia="方正仿宋_GBK" w:cs="方正仿宋_GBK"/>
                <w:spacing w:val="2"/>
                <w:sz w:val="20"/>
                <w:szCs w:val="20"/>
              </w:rPr>
              <w:t>国林业部令第4号）第十九条调运检疫时，森检机构对可能</w:t>
            </w:r>
            <w:r>
              <w:rPr>
                <w:rFonts w:ascii="方正仿宋_GBK" w:hAnsi="方正仿宋_GBK" w:eastAsia="方正仿宋_GBK" w:cs="方正仿宋_GBK"/>
                <w:spacing w:val="38"/>
                <w:w w:val="99"/>
                <w:sz w:val="20"/>
                <w:szCs w:val="20"/>
              </w:rPr>
              <w:t xml:space="preserve"> </w:t>
            </w:r>
            <w:r>
              <w:rPr>
                <w:rFonts w:ascii="方正仿宋_GBK" w:hAnsi="方正仿宋_GBK" w:eastAsia="方正仿宋_GBK" w:cs="方正仿宋_GBK"/>
                <w:spacing w:val="1"/>
                <w:w w:val="95"/>
                <w:sz w:val="20"/>
                <w:szCs w:val="20"/>
              </w:rPr>
              <w:t>被森检对象、补充森检对象或者检疫要求中的危险性森林病</w:t>
            </w:r>
          </w:p>
          <w:p>
            <w:pPr>
              <w:pStyle w:val="7"/>
              <w:spacing w:before="8" w:line="250"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、虫污染的包装材料、运载工具、场地、仓库等也应实施检</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疫。如已被污染，托运人应按森检机构的要求进行除害处理</w:t>
            </w:r>
          </w:p>
          <w:p>
            <w:pPr>
              <w:pStyle w:val="7"/>
              <w:spacing w:line="206"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。因实施检疫发生的车船停留、货物搬运、开拆、取样、储</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存、消毒处理等费用，由托运人承担。复检时发现森检对象</w:t>
            </w:r>
          </w:p>
          <w:p>
            <w:pPr>
              <w:pStyle w:val="7"/>
              <w:spacing w:before="10" w:line="24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、补充森检对象或者检疫要求中的危险性森林病、虫的，除</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害处理费用由收货人承担。</w:t>
            </w:r>
          </w:p>
        </w:tc>
        <w:tc>
          <w:tcPr>
            <w:tcW w:w="677"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4584"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80" w:lineRule="exact"/>
              <w:ind w:right="0"/>
              <w:jc w:val="left"/>
              <w:rPr>
                <w:sz w:val="28"/>
                <w:szCs w:val="28"/>
              </w:rPr>
            </w:pPr>
          </w:p>
          <w:p>
            <w:pPr>
              <w:pStyle w:val="7"/>
              <w:spacing w:line="240" w:lineRule="auto"/>
              <w:ind w:left="447" w:right="430"/>
              <w:jc w:val="center"/>
              <w:rPr>
                <w:rFonts w:ascii="方正仿宋_GBK" w:hAnsi="方正仿宋_GBK" w:eastAsia="方正仿宋_GBK" w:cs="方正仿宋_GBK"/>
                <w:sz w:val="20"/>
                <w:szCs w:val="20"/>
              </w:rPr>
            </w:pPr>
            <w:r>
              <w:rPr>
                <w:rFonts w:ascii="方正仿宋_GBK"/>
                <w:sz w:val="20"/>
              </w:rPr>
              <w:t>2</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80" w:lineRule="exact"/>
              <w:ind w:right="0"/>
              <w:jc w:val="left"/>
              <w:rPr>
                <w:sz w:val="28"/>
                <w:szCs w:val="28"/>
              </w:rPr>
            </w:pPr>
          </w:p>
          <w:p>
            <w:pPr>
              <w:pStyle w:val="7"/>
              <w:spacing w:line="240" w:lineRule="auto"/>
              <w:ind w:left="11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55"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2" w:line="200" w:lineRule="exact"/>
              <w:ind w:right="0"/>
              <w:jc w:val="left"/>
              <w:rPr>
                <w:sz w:val="20"/>
                <w:szCs w:val="20"/>
              </w:rPr>
            </w:pPr>
          </w:p>
          <w:p>
            <w:pPr>
              <w:pStyle w:val="7"/>
              <w:spacing w:line="248" w:lineRule="exact"/>
              <w:ind w:left="471" w:right="0" w:hanging="403"/>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对森林防火工作</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3"/>
                <w:sz w:val="20"/>
                <w:szCs w:val="20"/>
              </w:rPr>
              <w:t>的检</w:t>
            </w:r>
            <w:r>
              <w:rPr>
                <w:rFonts w:ascii="方正仿宋_GBK" w:hAnsi="方正仿宋_GBK" w:eastAsia="方正仿宋_GBK" w:cs="方正仿宋_GBK"/>
                <w:sz w:val="20"/>
                <w:szCs w:val="20"/>
              </w:rPr>
              <w:t>查</w:t>
            </w:r>
          </w:p>
        </w:tc>
        <w:tc>
          <w:tcPr>
            <w:tcW w:w="1195"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80" w:lineRule="exact"/>
              <w:ind w:right="0"/>
              <w:jc w:val="left"/>
              <w:rPr>
                <w:sz w:val="28"/>
                <w:szCs w:val="28"/>
              </w:rPr>
            </w:pPr>
          </w:p>
          <w:p>
            <w:pPr>
              <w:pStyle w:val="7"/>
              <w:spacing w:line="240" w:lineRule="auto"/>
              <w:ind w:left="19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森林防火</w:t>
            </w:r>
          </w:p>
        </w:tc>
        <w:tc>
          <w:tcPr>
            <w:tcW w:w="1094"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80" w:lineRule="exact"/>
              <w:ind w:right="0"/>
              <w:jc w:val="left"/>
              <w:rPr>
                <w:sz w:val="28"/>
                <w:szCs w:val="28"/>
              </w:rPr>
            </w:pPr>
          </w:p>
          <w:p>
            <w:pPr>
              <w:pStyle w:val="7"/>
              <w:spacing w:line="240" w:lineRule="auto"/>
              <w:ind w:left="422" w:right="41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6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80" w:lineRule="exact"/>
              <w:ind w:right="0"/>
              <w:jc w:val="left"/>
              <w:rPr>
                <w:sz w:val="28"/>
                <w:szCs w:val="28"/>
              </w:rPr>
            </w:pPr>
          </w:p>
          <w:p>
            <w:pPr>
              <w:pStyle w:val="7"/>
              <w:spacing w:line="240" w:lineRule="auto"/>
              <w:ind w:left="408" w:right="396"/>
              <w:jc w:val="center"/>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4" w:line="190" w:lineRule="exact"/>
              <w:ind w:right="0"/>
              <w:jc w:val="left"/>
              <w:rPr>
                <w:sz w:val="19"/>
                <w:szCs w:val="19"/>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69" w:lineRule="exact"/>
              <w:ind w:left="111" w:right="0"/>
              <w:jc w:val="both"/>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林业局</w:t>
            </w:r>
            <w:r>
              <w:rPr>
                <w:rFonts w:ascii="方正仿宋_GBK" w:hAnsi="方正仿宋_GBK" w:eastAsia="方正仿宋_GBK" w:cs="方正仿宋_GBK"/>
                <w:spacing w:val="1"/>
                <w:w w:val="95"/>
                <w:sz w:val="20"/>
                <w:szCs w:val="20"/>
              </w:rPr>
              <w:t>、应急局、公安局可</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联合检查</w:t>
            </w:r>
          </w:p>
        </w:tc>
        <w:tc>
          <w:tcPr>
            <w:tcW w:w="1195"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5" w:line="260" w:lineRule="exact"/>
              <w:ind w:right="0"/>
              <w:jc w:val="left"/>
              <w:rPr>
                <w:sz w:val="26"/>
                <w:szCs w:val="26"/>
              </w:rPr>
            </w:pPr>
          </w:p>
          <w:p>
            <w:pPr>
              <w:pStyle w:val="7"/>
              <w:spacing w:line="205" w:lineRule="auto"/>
              <w:ind w:left="34" w:right="22"/>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巡查</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定期检</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w w:val="95"/>
                <w:sz w:val="20"/>
                <w:szCs w:val="20"/>
              </w:rPr>
              <w:t>查（</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季</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w w:val="95"/>
                <w:sz w:val="20"/>
                <w:szCs w:val="20"/>
              </w:rPr>
              <w:t>度）</w:t>
            </w:r>
          </w:p>
        </w:tc>
        <w:tc>
          <w:tcPr>
            <w:tcW w:w="5386" w:type="dxa"/>
            <w:tcBorders>
              <w:top w:val="single" w:color="000000" w:sz="8" w:space="0"/>
              <w:left w:val="single" w:color="000000" w:sz="8" w:space="0"/>
              <w:bottom w:val="single" w:color="000000" w:sz="8" w:space="0"/>
              <w:right w:val="single" w:color="000000" w:sz="8" w:space="0"/>
            </w:tcBorders>
          </w:tcPr>
          <w:p>
            <w:pPr>
              <w:pStyle w:val="7"/>
              <w:spacing w:before="3" w:line="180" w:lineRule="exact"/>
              <w:ind w:right="0"/>
              <w:jc w:val="left"/>
              <w:rPr>
                <w:sz w:val="18"/>
                <w:szCs w:val="18"/>
              </w:rPr>
            </w:pPr>
          </w:p>
          <w:p>
            <w:pPr>
              <w:pStyle w:val="7"/>
              <w:spacing w:line="200" w:lineRule="exact"/>
              <w:ind w:right="0"/>
              <w:jc w:val="left"/>
              <w:rPr>
                <w:sz w:val="20"/>
                <w:szCs w:val="20"/>
              </w:rPr>
            </w:pPr>
          </w:p>
          <w:p>
            <w:pPr>
              <w:pStyle w:val="7"/>
              <w:numPr>
                <w:ilvl w:val="0"/>
                <w:numId w:val="1"/>
              </w:numPr>
              <w:spacing w:line="205" w:lineRule="auto"/>
              <w:ind w:left="30"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森林防火条例》第二十八条经市人民政府批准，林业主管部门、国务院确定的重点国有林区的管理机构在森林防火期内，可以设立临时性的森林防火检查站，对进入森</w:t>
            </w:r>
            <w:r>
              <w:rPr>
                <w:rFonts w:ascii="方正仿宋_GBK" w:hAnsi="方正仿宋_GBK" w:eastAsia="方正仿宋_GBK" w:cs="方正仿宋_GBK"/>
                <w:spacing w:val="2"/>
                <w:sz w:val="20"/>
                <w:szCs w:val="20"/>
              </w:rPr>
              <w:t>林防火区的车辆和人员进行森林防火检查。</w:t>
            </w:r>
          </w:p>
          <w:p>
            <w:pPr>
              <w:pStyle w:val="7"/>
              <w:numPr>
                <w:ilvl w:val="0"/>
                <w:numId w:val="1"/>
              </w:numPr>
              <w:spacing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《森林防火条例》第二十四条县级以上人民政府森林防火</w:t>
            </w:r>
            <w:r>
              <w:rPr>
                <w:rFonts w:ascii="方正仿宋_GBK" w:hAnsi="方正仿宋_GBK" w:eastAsia="方正仿宋_GBK" w:cs="方正仿宋_GBK"/>
                <w:spacing w:val="1"/>
                <w:w w:val="95"/>
                <w:sz w:val="20"/>
                <w:szCs w:val="20"/>
              </w:rPr>
              <w:t>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应当积极配合，不得阻挠、妨碍检查活动。</w:t>
            </w:r>
          </w:p>
          <w:p>
            <w:pPr>
              <w:pStyle w:val="7"/>
              <w:numPr>
                <w:ilvl w:val="0"/>
                <w:numId w:val="1"/>
              </w:numPr>
              <w:spacing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《森林防火条例》第二十七条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8"/>
                <w:w w:val="95"/>
                <w:sz w:val="20"/>
                <w:szCs w:val="20"/>
              </w:rPr>
              <w:t xml:space="preserve"> </w:t>
            </w:r>
            <w:r>
              <w:rPr>
                <w:rFonts w:ascii="方正仿宋_GBK" w:hAnsi="方正仿宋_GBK" w:eastAsia="方正仿宋_GBK" w:cs="方正仿宋_GBK"/>
                <w:spacing w:val="1"/>
                <w:w w:val="95"/>
                <w:sz w:val="20"/>
                <w:szCs w:val="20"/>
              </w:rPr>
              <w:t>森林防火期内，经省、自治</w:t>
            </w:r>
            <w:r>
              <w:rPr>
                <w:rFonts w:ascii="方正仿宋_GBK" w:hAnsi="方正仿宋_GBK" w:eastAsia="方正仿宋_GBK" w:cs="方正仿宋_GBK"/>
                <w:spacing w:val="30"/>
                <w:w w:val="99"/>
                <w:sz w:val="20"/>
                <w:szCs w:val="20"/>
              </w:rPr>
              <w:t xml:space="preserve"> </w:t>
            </w:r>
            <w:r>
              <w:rPr>
                <w:rFonts w:ascii="方正仿宋_GBK" w:hAnsi="方正仿宋_GBK" w:eastAsia="方正仿宋_GBK" w:cs="方正仿宋_GBK"/>
                <w:spacing w:val="1"/>
                <w:w w:val="95"/>
                <w:sz w:val="20"/>
                <w:szCs w:val="20"/>
              </w:rPr>
              <w:t>区、直辖市人民政府批准，林业主管部门、国务院确定的重点国有林区的管理机构可以设立临时性的森林防火检查站，</w:t>
            </w:r>
            <w:r>
              <w:rPr>
                <w:rFonts w:ascii="方正仿宋_GBK" w:hAnsi="方正仿宋_GBK" w:eastAsia="方正仿宋_GBK" w:cs="方正仿宋_GBK"/>
                <w:spacing w:val="2"/>
                <w:sz w:val="20"/>
                <w:szCs w:val="20"/>
              </w:rPr>
              <w:t>对进入森林防火区的车辆和人员进行森林防火检查。</w:t>
            </w:r>
          </w:p>
        </w:tc>
        <w:tc>
          <w:tcPr>
            <w:tcW w:w="677" w:type="dxa"/>
            <w:tcBorders>
              <w:top w:val="single" w:color="000000" w:sz="8" w:space="0"/>
              <w:left w:val="single" w:color="000000" w:sz="8" w:space="0"/>
              <w:bottom w:val="single" w:color="000000" w:sz="8" w:space="0"/>
              <w:right w:val="single" w:color="000000" w:sz="8" w:space="0"/>
            </w:tcBorders>
          </w:tcPr>
          <w:p/>
        </w:tc>
      </w:tr>
    </w:tbl>
    <w:p>
      <w:pPr>
        <w:spacing w:after="0"/>
        <w:sectPr>
          <w:type w:val="continuous"/>
          <w:pgSz w:w="16840" w:h="11910" w:orient="landscape"/>
          <w:pgMar w:top="380" w:right="660" w:bottom="280" w:left="480" w:header="720" w:footer="720" w:gutter="0"/>
          <w:cols w:space="720" w:num="1"/>
        </w:sectPr>
      </w:pPr>
    </w:p>
    <w:p>
      <w:pPr>
        <w:spacing w:before="2" w:line="60" w:lineRule="exact"/>
        <w:rPr>
          <w:sz w:val="6"/>
          <w:szCs w:val="6"/>
        </w:rPr>
      </w:pPr>
    </w:p>
    <w:tbl>
      <w:tblPr>
        <w:tblStyle w:val="3"/>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7"/>
        <w:gridCol w:w="1037"/>
        <w:gridCol w:w="1555"/>
        <w:gridCol w:w="1195"/>
        <w:gridCol w:w="1094"/>
        <w:gridCol w:w="1267"/>
        <w:gridCol w:w="1037"/>
        <w:gridCol w:w="1195"/>
        <w:gridCol w:w="5386"/>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2" w:hRule="exact"/>
        </w:trPr>
        <w:tc>
          <w:tcPr>
            <w:tcW w:w="1037" w:type="dxa"/>
          </w:tcPr>
          <w:p>
            <w:pPr>
              <w:pStyle w:val="7"/>
              <w:spacing w:before="7"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47" w:right="430"/>
              <w:jc w:val="center"/>
              <w:rPr>
                <w:rFonts w:ascii="方正仿宋_GBK" w:hAnsi="方正仿宋_GBK" w:eastAsia="方正仿宋_GBK" w:cs="方正仿宋_GBK"/>
                <w:sz w:val="20"/>
                <w:szCs w:val="20"/>
              </w:rPr>
            </w:pPr>
            <w:r>
              <w:rPr>
                <w:rFonts w:ascii="方正仿宋_GBK"/>
                <w:w w:val="95"/>
                <w:sz w:val="20"/>
              </w:rPr>
              <w:t>3</w:t>
            </w:r>
          </w:p>
        </w:tc>
        <w:tc>
          <w:tcPr>
            <w:tcW w:w="1037" w:type="dxa"/>
          </w:tcPr>
          <w:p>
            <w:pPr>
              <w:pStyle w:val="7"/>
              <w:spacing w:before="7"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55"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5" w:line="280" w:lineRule="exact"/>
              <w:ind w:right="0"/>
              <w:jc w:val="left"/>
              <w:rPr>
                <w:sz w:val="28"/>
                <w:szCs w:val="28"/>
              </w:rPr>
            </w:pPr>
          </w:p>
          <w:p>
            <w:pPr>
              <w:pStyle w:val="7"/>
              <w:spacing w:line="250" w:lineRule="exact"/>
              <w:ind w:left="270" w:right="0" w:hanging="202"/>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对森林植物检疫</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的监督检查</w:t>
            </w:r>
          </w:p>
        </w:tc>
        <w:tc>
          <w:tcPr>
            <w:tcW w:w="1195" w:type="dxa"/>
          </w:tcPr>
          <w:p>
            <w:pPr>
              <w:pStyle w:val="7"/>
              <w:spacing w:before="7"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9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植物检疫</w:t>
            </w:r>
          </w:p>
        </w:tc>
        <w:tc>
          <w:tcPr>
            <w:tcW w:w="1094" w:type="dxa"/>
          </w:tcPr>
          <w:p>
            <w:pPr>
              <w:pStyle w:val="7"/>
              <w:spacing w:before="7"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22" w:right="41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67" w:type="dxa"/>
          </w:tcPr>
          <w:p>
            <w:pPr>
              <w:pStyle w:val="7"/>
              <w:spacing w:before="7"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08" w:right="396"/>
              <w:jc w:val="center"/>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Pr>
          <w:p>
            <w:pPr>
              <w:pStyle w:val="7"/>
              <w:spacing w:before="7"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6" w:right="0"/>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95"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bookmarkStart w:id="0" w:name="_GoBack"/>
            <w:bookmarkEnd w:id="0"/>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5" w:line="280" w:lineRule="exact"/>
              <w:ind w:right="0"/>
              <w:jc w:val="left"/>
              <w:rPr>
                <w:sz w:val="28"/>
                <w:szCs w:val="28"/>
              </w:rPr>
            </w:pPr>
          </w:p>
          <w:p>
            <w:pPr>
              <w:pStyle w:val="7"/>
              <w:spacing w:line="250" w:lineRule="exact"/>
              <w:ind w:left="493" w:right="0" w:hanging="459"/>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巡查</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定期检</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z w:val="20"/>
                <w:szCs w:val="20"/>
              </w:rPr>
              <w:t>查</w:t>
            </w:r>
          </w:p>
        </w:tc>
        <w:tc>
          <w:tcPr>
            <w:tcW w:w="5386" w:type="dxa"/>
          </w:tcPr>
          <w:p>
            <w:pPr>
              <w:pStyle w:val="7"/>
              <w:spacing w:before="14" w:line="240" w:lineRule="exact"/>
              <w:ind w:right="0"/>
              <w:jc w:val="left"/>
              <w:rPr>
                <w:sz w:val="24"/>
                <w:szCs w:val="24"/>
              </w:rPr>
            </w:pPr>
          </w:p>
          <w:p>
            <w:pPr>
              <w:pStyle w:val="7"/>
              <w:spacing w:line="240" w:lineRule="auto"/>
              <w:ind w:left="30"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1.《植物检疫条例》第五条局部地区发生植物检疫对象的，应划为疫区，采取封锁、消灭措施，防止植物检疫对象传出；发生地区已比较普遍的，则应将未发生地区划为保护区，防止植物检疫对象传入。疫区应根据植物检疫对象的传播情况、当地的地理环境、交通状况以及采取封锁、消灭措施的需要来划定，其范围应严格控制。在发生疫情的地区，植物检疫机构可以派人参加当地的道路联合检查站或者木材检查站；发生特大疫情时，经省、自治区、直辖市人民政府批准，可以设立植物检疫检查站，开展植物检疫工作。</w:t>
            </w:r>
          </w:p>
          <w:p>
            <w:pPr>
              <w:pStyle w:val="7"/>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2.《植物检疫条例实施细则（林业部分）》（中华人民共和国林业部令第4号）第五条森检人员在执行森检任务时有权行使下列职权：（一）进入车站、机场、港口、仓库和森林植物及其产品的生产、经营、存放等场所，依照规定实施现场检疫或者复检、查验植物检疫证书和进行疫情监测调查；（二）依法监督有关单位或者个人进行消毒处理、除害处理、隔离试种和采取封锁、消灭等措施；（三）依法查阅、摘录或者复制与森检工作有关的资料，收集证据。</w:t>
            </w:r>
          </w:p>
        </w:tc>
        <w:tc>
          <w:tcPr>
            <w:tcW w:w="677" w:type="dxa"/>
          </w:tcPr>
          <w:p/>
        </w:tc>
      </w:tr>
    </w:tbl>
    <w:p>
      <w:pPr>
        <w:spacing w:after="0"/>
        <w:sectPr>
          <w:pgSz w:w="16840" w:h="11910" w:orient="landscape"/>
          <w:pgMar w:top="340" w:right="660" w:bottom="280" w:left="480" w:header="720" w:footer="720" w:gutter="0"/>
          <w:cols w:space="720" w:num="1"/>
        </w:sectPr>
      </w:pPr>
    </w:p>
    <w:p>
      <w:pPr>
        <w:spacing w:before="2" w:line="60" w:lineRule="exact"/>
        <w:rPr>
          <w:sz w:val="6"/>
          <w:szCs w:val="6"/>
        </w:rPr>
      </w:pPr>
    </w:p>
    <w:tbl>
      <w:tblPr>
        <w:tblStyle w:val="3"/>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7"/>
        <w:gridCol w:w="1037"/>
        <w:gridCol w:w="1555"/>
        <w:gridCol w:w="1195"/>
        <w:gridCol w:w="1094"/>
        <w:gridCol w:w="1267"/>
        <w:gridCol w:w="1037"/>
        <w:gridCol w:w="1195"/>
        <w:gridCol w:w="5386"/>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5" w:hRule="exact"/>
        </w:trPr>
        <w:tc>
          <w:tcPr>
            <w:tcW w:w="103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8" w:line="220" w:lineRule="exact"/>
              <w:ind w:right="0"/>
              <w:jc w:val="left"/>
              <w:rPr>
                <w:sz w:val="22"/>
                <w:szCs w:val="22"/>
              </w:rPr>
            </w:pPr>
          </w:p>
          <w:p>
            <w:pPr>
              <w:pStyle w:val="7"/>
              <w:spacing w:line="240" w:lineRule="auto"/>
              <w:ind w:left="447" w:right="430"/>
              <w:jc w:val="center"/>
              <w:rPr>
                <w:rFonts w:ascii="方正仿宋_GBK" w:hAnsi="方正仿宋_GBK" w:eastAsia="方正仿宋_GBK" w:cs="方正仿宋_GBK"/>
                <w:sz w:val="20"/>
                <w:szCs w:val="20"/>
              </w:rPr>
            </w:pPr>
            <w:r>
              <w:rPr>
                <w:rFonts w:ascii="方正仿宋_GBK"/>
                <w:w w:val="90"/>
                <w:sz w:val="20"/>
              </w:rPr>
              <w:t>4</w:t>
            </w:r>
          </w:p>
        </w:tc>
        <w:tc>
          <w:tcPr>
            <w:tcW w:w="103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8" w:line="220" w:lineRule="exact"/>
              <w:ind w:right="0"/>
              <w:jc w:val="left"/>
              <w:rPr>
                <w:sz w:val="22"/>
                <w:szCs w:val="22"/>
              </w:rPr>
            </w:pPr>
          </w:p>
          <w:p>
            <w:pPr>
              <w:pStyle w:val="7"/>
              <w:spacing w:line="240" w:lineRule="auto"/>
              <w:ind w:left="11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55" w:type="dxa"/>
          </w:tcPr>
          <w:p>
            <w:pPr>
              <w:pStyle w:val="7"/>
              <w:spacing w:before="6"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50" w:lineRule="exact"/>
              <w:ind w:left="673" w:right="0" w:hanging="605"/>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对种子的监督检</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z w:val="20"/>
                <w:szCs w:val="20"/>
              </w:rPr>
              <w:t>查</w:t>
            </w:r>
          </w:p>
        </w:tc>
        <w:tc>
          <w:tcPr>
            <w:tcW w:w="1195" w:type="dxa"/>
          </w:tcPr>
          <w:p>
            <w:pPr>
              <w:pStyle w:val="7"/>
              <w:spacing w:before="6"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50" w:lineRule="exact"/>
              <w:ind w:left="493" w:right="0" w:hanging="403"/>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种质资源保</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z w:val="20"/>
                <w:szCs w:val="20"/>
              </w:rPr>
              <w:t>护</w:t>
            </w:r>
          </w:p>
        </w:tc>
        <w:tc>
          <w:tcPr>
            <w:tcW w:w="1094"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8" w:line="220" w:lineRule="exact"/>
              <w:ind w:right="0"/>
              <w:jc w:val="left"/>
              <w:rPr>
                <w:sz w:val="22"/>
                <w:szCs w:val="22"/>
              </w:rPr>
            </w:pPr>
          </w:p>
          <w:p>
            <w:pPr>
              <w:pStyle w:val="7"/>
              <w:spacing w:line="240" w:lineRule="auto"/>
              <w:ind w:left="422" w:right="41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6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8" w:line="220" w:lineRule="exact"/>
              <w:ind w:right="0"/>
              <w:jc w:val="left"/>
              <w:rPr>
                <w:sz w:val="22"/>
                <w:szCs w:val="22"/>
              </w:rPr>
            </w:pPr>
          </w:p>
          <w:p>
            <w:pPr>
              <w:pStyle w:val="7"/>
              <w:spacing w:line="240" w:lineRule="auto"/>
              <w:ind w:left="408" w:right="396"/>
              <w:jc w:val="center"/>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8" w:line="220" w:lineRule="exact"/>
              <w:ind w:right="0"/>
              <w:jc w:val="left"/>
              <w:rPr>
                <w:sz w:val="22"/>
                <w:szCs w:val="22"/>
              </w:rPr>
            </w:pPr>
          </w:p>
          <w:p>
            <w:pPr>
              <w:pStyle w:val="7"/>
              <w:spacing w:line="240" w:lineRule="auto"/>
              <w:ind w:left="16" w:right="0"/>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95" w:type="dxa"/>
          </w:tcPr>
          <w:p>
            <w:pPr>
              <w:pStyle w:val="7"/>
              <w:spacing w:before="6"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50" w:lineRule="exact"/>
              <w:ind w:left="3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不定</w:t>
            </w:r>
            <w:r>
              <w:rPr>
                <w:rFonts w:ascii="方正仿宋_GBK" w:hAnsi="方正仿宋_GBK" w:eastAsia="方正仿宋_GBK" w:cs="方正仿宋_GBK"/>
                <w:spacing w:val="3"/>
                <w:w w:val="95"/>
                <w:sz w:val="20"/>
                <w:szCs w:val="20"/>
              </w:rPr>
              <w:t>期</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年</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3"/>
                <w:w w:val="95"/>
                <w:sz w:val="20"/>
                <w:szCs w:val="20"/>
              </w:rPr>
              <w:t>于</w:t>
            </w:r>
            <w:r>
              <w:rPr>
                <w:rFonts w:ascii="方正仿宋_GBK" w:hAnsi="方正仿宋_GBK" w:eastAsia="方正仿宋_GBK" w:cs="方正仿宋_GBK"/>
                <w:w w:val="95"/>
                <w:sz w:val="20"/>
                <w:szCs w:val="20"/>
              </w:rPr>
              <w:t>1</w:t>
            </w:r>
            <w:r>
              <w:rPr>
                <w:rFonts w:ascii="方正仿宋_GBK" w:hAnsi="方正仿宋_GBK" w:eastAsia="方正仿宋_GBK" w:cs="方正仿宋_GBK"/>
                <w:spacing w:val="1"/>
                <w:w w:val="95"/>
                <w:sz w:val="20"/>
                <w:szCs w:val="20"/>
              </w:rPr>
              <w:t>次</w:t>
            </w:r>
            <w:r>
              <w:rPr>
                <w:rFonts w:ascii="方正仿宋_GBK" w:hAnsi="方正仿宋_GBK" w:eastAsia="方正仿宋_GBK" w:cs="方正仿宋_GBK"/>
                <w:w w:val="95"/>
                <w:sz w:val="20"/>
                <w:szCs w:val="20"/>
              </w:rPr>
              <w:t>）</w:t>
            </w:r>
          </w:p>
        </w:tc>
        <w:tc>
          <w:tcPr>
            <w:tcW w:w="5386" w:type="dxa"/>
          </w:tcPr>
          <w:p>
            <w:pPr>
              <w:pStyle w:val="7"/>
              <w:spacing w:before="131"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《中华人民共和国种子法》第四十九条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31"/>
                <w:w w:val="95"/>
                <w:sz w:val="20"/>
                <w:szCs w:val="20"/>
              </w:rPr>
              <w:t xml:space="preserve"> </w:t>
            </w:r>
            <w:r>
              <w:rPr>
                <w:rFonts w:ascii="方正仿宋_GBK" w:hAnsi="方正仿宋_GBK" w:eastAsia="方正仿宋_GBK" w:cs="方正仿宋_GBK"/>
                <w:spacing w:val="1"/>
                <w:w w:val="95"/>
                <w:sz w:val="20"/>
                <w:szCs w:val="20"/>
              </w:rPr>
              <w:t>农业农村、林业草原</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2"/>
                <w:sz w:val="20"/>
                <w:szCs w:val="20"/>
              </w:rPr>
              <w:t>主管部门是种子行政执法机关。种子执法人员依法执行公务</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时应当出示行政执法证件。农业农村、林业草原主管部门依</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法履行种子监督检查职责时，有权采取下列措施：</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2"/>
                <w:sz w:val="20"/>
                <w:szCs w:val="20"/>
              </w:rPr>
              <w:t>(一)进入生产经营场所进行现场检查；</w:t>
            </w:r>
            <w:r>
              <w:rPr>
                <w:rFonts w:ascii="方正仿宋_GBK" w:hAnsi="方正仿宋_GBK" w:eastAsia="方正仿宋_GBK" w:cs="方正仿宋_GBK"/>
                <w:spacing w:val="28"/>
                <w:w w:val="99"/>
                <w:sz w:val="20"/>
                <w:szCs w:val="20"/>
              </w:rPr>
              <w:t xml:space="preserve"> </w:t>
            </w:r>
            <w:r>
              <w:rPr>
                <w:rFonts w:ascii="方正仿宋_GBK" w:hAnsi="方正仿宋_GBK" w:eastAsia="方正仿宋_GBK" w:cs="方正仿宋_GBK"/>
                <w:spacing w:val="2"/>
                <w:sz w:val="20"/>
                <w:szCs w:val="20"/>
              </w:rPr>
              <w:t>(二)对种子进行取样测试、试验或者检验；</w:t>
            </w:r>
            <w:r>
              <w:rPr>
                <w:rFonts w:ascii="方正仿宋_GBK" w:hAnsi="方正仿宋_GBK" w:eastAsia="方正仿宋_GBK" w:cs="方正仿宋_GBK"/>
                <w:spacing w:val="29"/>
                <w:w w:val="99"/>
                <w:sz w:val="20"/>
                <w:szCs w:val="20"/>
              </w:rPr>
              <w:t xml:space="preserve"> </w:t>
            </w:r>
            <w:r>
              <w:rPr>
                <w:rFonts w:ascii="方正仿宋_GBK" w:hAnsi="方正仿宋_GBK" w:eastAsia="方正仿宋_GBK" w:cs="方正仿宋_GBK"/>
                <w:spacing w:val="2"/>
                <w:sz w:val="20"/>
                <w:szCs w:val="20"/>
              </w:rPr>
              <w:t>(三)查阅、复制有关合同、票据、账簿、生产经营档案及其</w:t>
            </w:r>
            <w:r>
              <w:rPr>
                <w:rFonts w:ascii="方正仿宋_GBK" w:hAnsi="方正仿宋_GBK" w:eastAsia="方正仿宋_GBK" w:cs="方正仿宋_GBK"/>
                <w:spacing w:val="32"/>
                <w:w w:val="99"/>
                <w:sz w:val="20"/>
                <w:szCs w:val="20"/>
              </w:rPr>
              <w:t xml:space="preserve"> </w:t>
            </w:r>
            <w:r>
              <w:rPr>
                <w:rFonts w:ascii="方正仿宋_GBK" w:hAnsi="方正仿宋_GBK" w:eastAsia="方正仿宋_GBK" w:cs="方正仿宋_GBK"/>
                <w:spacing w:val="2"/>
                <w:sz w:val="20"/>
                <w:szCs w:val="20"/>
              </w:rPr>
              <w:t>他有关资料；</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2"/>
                <w:sz w:val="20"/>
                <w:szCs w:val="20"/>
              </w:rPr>
              <w:t>(四)查封、扣押有证据证明违法生产经营的种子，以及用于</w:t>
            </w:r>
            <w:r>
              <w:rPr>
                <w:rFonts w:ascii="方正仿宋_GBK" w:hAnsi="方正仿宋_GBK" w:eastAsia="方正仿宋_GBK" w:cs="方正仿宋_GBK"/>
                <w:spacing w:val="34"/>
                <w:w w:val="99"/>
                <w:sz w:val="20"/>
                <w:szCs w:val="20"/>
              </w:rPr>
              <w:t xml:space="preserve"> </w:t>
            </w:r>
            <w:r>
              <w:rPr>
                <w:rFonts w:ascii="方正仿宋_GBK" w:hAnsi="方正仿宋_GBK" w:eastAsia="方正仿宋_GBK" w:cs="方正仿宋_GBK"/>
                <w:spacing w:val="2"/>
                <w:sz w:val="20"/>
                <w:szCs w:val="20"/>
              </w:rPr>
              <w:t>违法生产经营的工具、设备及运输工具等；</w:t>
            </w:r>
            <w:r>
              <w:rPr>
                <w:rFonts w:ascii="方正仿宋_GBK" w:hAnsi="方正仿宋_GBK" w:eastAsia="方正仿宋_GBK" w:cs="方正仿宋_GBK"/>
                <w:spacing w:val="32"/>
                <w:w w:val="99"/>
                <w:sz w:val="20"/>
                <w:szCs w:val="20"/>
              </w:rPr>
              <w:t xml:space="preserve"> </w:t>
            </w:r>
            <w:r>
              <w:rPr>
                <w:rFonts w:ascii="方正仿宋_GBK" w:hAnsi="方正仿宋_GBK" w:eastAsia="方正仿宋_GBK" w:cs="方正仿宋_GBK"/>
                <w:spacing w:val="2"/>
                <w:sz w:val="20"/>
                <w:szCs w:val="20"/>
              </w:rPr>
              <w:t>(五)查封违法从事种子生产经营活动的场所。</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农业农村、林业草原主管部门依照本法规定行使职权，当事</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人应当协助、配合，不得拒绝、阻挠。</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农业农村、林业草原主管部门所属的综合执法机构或者受其</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委托的种子管理机构，可以开展种子执法相关工作。</w:t>
            </w:r>
          </w:p>
        </w:tc>
        <w:tc>
          <w:tcPr>
            <w:tcW w:w="6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9" w:hRule="exact"/>
        </w:trPr>
        <w:tc>
          <w:tcPr>
            <w:tcW w:w="103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4" w:line="280" w:lineRule="exact"/>
              <w:ind w:right="0"/>
              <w:jc w:val="left"/>
              <w:rPr>
                <w:sz w:val="28"/>
                <w:szCs w:val="28"/>
              </w:rPr>
            </w:pPr>
          </w:p>
          <w:p>
            <w:pPr>
              <w:pStyle w:val="7"/>
              <w:spacing w:line="240" w:lineRule="auto"/>
              <w:ind w:left="447" w:right="430"/>
              <w:jc w:val="center"/>
              <w:rPr>
                <w:rFonts w:ascii="方正仿宋_GBK" w:hAnsi="方正仿宋_GBK" w:eastAsia="方正仿宋_GBK" w:cs="方正仿宋_GBK"/>
                <w:sz w:val="20"/>
                <w:szCs w:val="20"/>
              </w:rPr>
            </w:pPr>
            <w:r>
              <w:rPr>
                <w:rFonts w:ascii="方正仿宋_GBK"/>
                <w:sz w:val="20"/>
              </w:rPr>
              <w:t>5</w:t>
            </w:r>
          </w:p>
        </w:tc>
        <w:tc>
          <w:tcPr>
            <w:tcW w:w="103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4" w:line="280" w:lineRule="exact"/>
              <w:ind w:right="0"/>
              <w:jc w:val="left"/>
              <w:rPr>
                <w:sz w:val="28"/>
                <w:szCs w:val="28"/>
              </w:rPr>
            </w:pPr>
          </w:p>
          <w:p>
            <w:pPr>
              <w:pStyle w:val="7"/>
              <w:spacing w:line="240" w:lineRule="auto"/>
              <w:ind w:left="11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55"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8" w:line="260" w:lineRule="exact"/>
              <w:ind w:right="0"/>
              <w:jc w:val="left"/>
              <w:rPr>
                <w:sz w:val="26"/>
                <w:szCs w:val="26"/>
              </w:rPr>
            </w:pPr>
          </w:p>
          <w:p>
            <w:pPr>
              <w:pStyle w:val="7"/>
              <w:spacing w:line="205" w:lineRule="auto"/>
              <w:ind w:left="68" w:right="53"/>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对生产、经营野</w:t>
            </w:r>
            <w:r>
              <w:rPr>
                <w:rFonts w:ascii="方正仿宋_GBK" w:hAnsi="方正仿宋_GBK" w:eastAsia="方正仿宋_GBK" w:cs="方正仿宋_GBK"/>
                <w:spacing w:val="25"/>
                <w:w w:val="99"/>
                <w:sz w:val="20"/>
                <w:szCs w:val="20"/>
              </w:rPr>
              <w:t xml:space="preserve"> </w:t>
            </w:r>
            <w:r>
              <w:rPr>
                <w:rFonts w:ascii="方正仿宋_GBK" w:hAnsi="方正仿宋_GBK" w:eastAsia="方正仿宋_GBK" w:cs="方正仿宋_GBK"/>
                <w:spacing w:val="1"/>
                <w:w w:val="95"/>
                <w:sz w:val="20"/>
                <w:szCs w:val="20"/>
              </w:rPr>
              <w:t>生动物及其产品</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进行监督检查</w:t>
            </w:r>
          </w:p>
        </w:tc>
        <w:tc>
          <w:tcPr>
            <w:tcW w:w="1195"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3" w:line="200" w:lineRule="exact"/>
              <w:ind w:right="0"/>
              <w:jc w:val="left"/>
              <w:rPr>
                <w:sz w:val="20"/>
                <w:szCs w:val="20"/>
              </w:rPr>
            </w:pPr>
          </w:p>
          <w:p>
            <w:pPr>
              <w:pStyle w:val="7"/>
              <w:spacing w:line="248" w:lineRule="exact"/>
              <w:ind w:left="493" w:right="0" w:hanging="403"/>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野生动物保</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z w:val="20"/>
                <w:szCs w:val="20"/>
              </w:rPr>
              <w:t>护</w:t>
            </w:r>
          </w:p>
        </w:tc>
        <w:tc>
          <w:tcPr>
            <w:tcW w:w="1094"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4" w:line="280" w:lineRule="exact"/>
              <w:ind w:right="0"/>
              <w:jc w:val="left"/>
              <w:rPr>
                <w:sz w:val="28"/>
                <w:szCs w:val="28"/>
              </w:rPr>
            </w:pPr>
          </w:p>
          <w:p>
            <w:pPr>
              <w:pStyle w:val="7"/>
              <w:spacing w:line="240" w:lineRule="auto"/>
              <w:ind w:left="422" w:right="41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6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4" w:line="280" w:lineRule="exact"/>
              <w:ind w:right="0"/>
              <w:jc w:val="left"/>
              <w:rPr>
                <w:sz w:val="28"/>
                <w:szCs w:val="28"/>
              </w:rPr>
            </w:pPr>
          </w:p>
          <w:p>
            <w:pPr>
              <w:pStyle w:val="7"/>
              <w:spacing w:line="240" w:lineRule="auto"/>
              <w:ind w:left="408" w:right="396"/>
              <w:jc w:val="center"/>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4" w:line="280" w:lineRule="exact"/>
              <w:ind w:right="0"/>
              <w:jc w:val="left"/>
              <w:rPr>
                <w:sz w:val="28"/>
                <w:szCs w:val="28"/>
              </w:rPr>
            </w:pPr>
          </w:p>
          <w:p>
            <w:pPr>
              <w:pStyle w:val="7"/>
              <w:spacing w:line="240" w:lineRule="auto"/>
              <w:ind w:left="16" w:right="0"/>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95"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4" w:line="280" w:lineRule="exact"/>
              <w:ind w:right="0"/>
              <w:jc w:val="left"/>
              <w:rPr>
                <w:sz w:val="28"/>
                <w:szCs w:val="28"/>
              </w:rPr>
            </w:pPr>
          </w:p>
          <w:p>
            <w:pPr>
              <w:pStyle w:val="7"/>
              <w:spacing w:line="240" w:lineRule="auto"/>
              <w:ind w:left="9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5386" w:type="dxa"/>
          </w:tcPr>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中华人民共和国陆生野生动物保护实施条例》第二十七条县级以上各级人民政府野生动物行政主管部门和工商行政管理部门，应当对野生动物或者其产品的经营利用建立监督检查制度，加强对经营利用野生动物或者其产品的监督管理。对进入集贸市场的野生动物或者其产品，由工商行政管理部门进行监督管理；在集贸市场以外经营野生动物或者其产</w:t>
            </w:r>
            <w:r>
              <w:rPr>
                <w:rFonts w:ascii="方正仿宋_GBK" w:hAnsi="方正仿宋_GBK" w:eastAsia="方正仿宋_GBK" w:cs="方正仿宋_GBK"/>
                <w:spacing w:val="42"/>
                <w:w w:val="99"/>
                <w:sz w:val="20"/>
                <w:szCs w:val="20"/>
              </w:rPr>
              <w:t xml:space="preserve"> </w:t>
            </w:r>
            <w:r>
              <w:rPr>
                <w:rFonts w:ascii="方正仿宋_GBK" w:hAnsi="方正仿宋_GBK" w:eastAsia="方正仿宋_GBK" w:cs="方正仿宋_GBK"/>
                <w:spacing w:val="1"/>
                <w:w w:val="95"/>
                <w:sz w:val="20"/>
                <w:szCs w:val="20"/>
              </w:rPr>
              <w:t>品，由野生动物行政主管部门、工商行政管理部门或者其授</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权的单位进行监督管理。</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《中华人民共和国陆生野生动物保护实施条例》第五条野生动物行政主管部门有权对《中华人民共和国野生动物保护法》和本条例的实施情况进行监督检查，被检查的单位和个人应当给予配合。</w:t>
            </w:r>
          </w:p>
        </w:tc>
        <w:tc>
          <w:tcPr>
            <w:tcW w:w="677" w:type="dxa"/>
          </w:tcPr>
          <w:p/>
        </w:tc>
      </w:tr>
    </w:tbl>
    <w:p>
      <w:pPr>
        <w:spacing w:after="0"/>
        <w:sectPr>
          <w:pgSz w:w="16840" w:h="11910" w:orient="landscape"/>
          <w:pgMar w:top="340" w:right="660" w:bottom="280" w:left="480" w:header="720" w:footer="720" w:gutter="0"/>
          <w:cols w:space="720" w:num="1"/>
        </w:sectPr>
      </w:pPr>
    </w:p>
    <w:p>
      <w:pPr>
        <w:spacing w:before="2" w:line="60" w:lineRule="exact"/>
        <w:rPr>
          <w:sz w:val="6"/>
          <w:szCs w:val="6"/>
        </w:rPr>
      </w:pPr>
    </w:p>
    <w:tbl>
      <w:tblPr>
        <w:tblStyle w:val="3"/>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7"/>
        <w:gridCol w:w="1037"/>
        <w:gridCol w:w="1555"/>
        <w:gridCol w:w="1195"/>
        <w:gridCol w:w="1094"/>
        <w:gridCol w:w="1267"/>
        <w:gridCol w:w="1037"/>
        <w:gridCol w:w="1195"/>
        <w:gridCol w:w="5386"/>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7" w:hRule="exact"/>
        </w:trPr>
        <w:tc>
          <w:tcPr>
            <w:tcW w:w="103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6" w:line="280" w:lineRule="exact"/>
              <w:ind w:right="0"/>
              <w:jc w:val="left"/>
              <w:rPr>
                <w:sz w:val="28"/>
                <w:szCs w:val="28"/>
              </w:rPr>
            </w:pPr>
          </w:p>
          <w:p>
            <w:pPr>
              <w:pStyle w:val="7"/>
              <w:spacing w:line="240" w:lineRule="auto"/>
              <w:ind w:left="447" w:right="430"/>
              <w:jc w:val="center"/>
              <w:rPr>
                <w:rFonts w:ascii="方正仿宋_GBK" w:hAnsi="方正仿宋_GBK" w:eastAsia="方正仿宋_GBK" w:cs="方正仿宋_GBK"/>
                <w:sz w:val="20"/>
                <w:szCs w:val="20"/>
              </w:rPr>
            </w:pPr>
            <w:r>
              <w:rPr>
                <w:rFonts w:ascii="方正仿宋_GBK"/>
                <w:sz w:val="20"/>
              </w:rPr>
              <w:t>6</w:t>
            </w:r>
          </w:p>
        </w:tc>
        <w:tc>
          <w:tcPr>
            <w:tcW w:w="103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6" w:line="280" w:lineRule="exact"/>
              <w:ind w:right="0"/>
              <w:jc w:val="left"/>
              <w:rPr>
                <w:sz w:val="28"/>
                <w:szCs w:val="28"/>
              </w:rPr>
            </w:pPr>
          </w:p>
          <w:p>
            <w:pPr>
              <w:pStyle w:val="7"/>
              <w:spacing w:line="240" w:lineRule="auto"/>
              <w:ind w:left="11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55"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4" w:line="200" w:lineRule="exact"/>
              <w:ind w:right="0"/>
              <w:jc w:val="left"/>
              <w:rPr>
                <w:sz w:val="20"/>
                <w:szCs w:val="20"/>
              </w:rPr>
            </w:pPr>
          </w:p>
          <w:p>
            <w:pPr>
              <w:pStyle w:val="7"/>
              <w:spacing w:line="250" w:lineRule="exact"/>
              <w:ind w:left="572" w:right="0" w:hanging="504"/>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对占用林地情况</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sz w:val="20"/>
                <w:szCs w:val="20"/>
              </w:rPr>
              <w:t>检查</w:t>
            </w:r>
          </w:p>
        </w:tc>
        <w:tc>
          <w:tcPr>
            <w:tcW w:w="1195"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6" w:line="280" w:lineRule="exact"/>
              <w:ind w:right="0"/>
              <w:jc w:val="left"/>
              <w:rPr>
                <w:sz w:val="28"/>
                <w:szCs w:val="28"/>
              </w:rPr>
            </w:pPr>
          </w:p>
          <w:p>
            <w:pPr>
              <w:pStyle w:val="7"/>
              <w:spacing w:line="240" w:lineRule="auto"/>
              <w:ind w:left="19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森林保护</w:t>
            </w:r>
          </w:p>
        </w:tc>
        <w:tc>
          <w:tcPr>
            <w:tcW w:w="1094"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6" w:line="280" w:lineRule="exact"/>
              <w:ind w:right="0"/>
              <w:jc w:val="left"/>
              <w:rPr>
                <w:sz w:val="28"/>
                <w:szCs w:val="28"/>
              </w:rPr>
            </w:pPr>
          </w:p>
          <w:p>
            <w:pPr>
              <w:pStyle w:val="7"/>
              <w:spacing w:line="240" w:lineRule="auto"/>
              <w:ind w:left="422" w:right="41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6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6" w:line="280" w:lineRule="exact"/>
              <w:ind w:right="0"/>
              <w:jc w:val="left"/>
              <w:rPr>
                <w:sz w:val="28"/>
                <w:szCs w:val="28"/>
              </w:rPr>
            </w:pPr>
          </w:p>
          <w:p>
            <w:pPr>
              <w:pStyle w:val="7"/>
              <w:spacing w:line="240" w:lineRule="auto"/>
              <w:ind w:left="408" w:right="396"/>
              <w:jc w:val="center"/>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6" w:line="280" w:lineRule="exact"/>
              <w:ind w:right="0"/>
              <w:jc w:val="left"/>
              <w:rPr>
                <w:sz w:val="28"/>
                <w:szCs w:val="28"/>
              </w:rPr>
            </w:pPr>
          </w:p>
          <w:p>
            <w:pPr>
              <w:pStyle w:val="7"/>
              <w:spacing w:line="240" w:lineRule="auto"/>
              <w:ind w:left="16" w:right="0"/>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95" w:type="dxa"/>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6" w:line="280" w:lineRule="exact"/>
              <w:ind w:right="0"/>
              <w:jc w:val="left"/>
              <w:rPr>
                <w:sz w:val="28"/>
                <w:szCs w:val="28"/>
              </w:rPr>
            </w:pPr>
          </w:p>
          <w:p>
            <w:pPr>
              <w:pStyle w:val="7"/>
              <w:spacing w:line="240" w:lineRule="auto"/>
              <w:ind w:left="9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5386" w:type="dxa"/>
          </w:tcPr>
          <w:p>
            <w:pPr>
              <w:pStyle w:val="7"/>
              <w:spacing w:before="144" w:line="240"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《中华人民共和国森林法》第三十六条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72"/>
                <w:w w:val="95"/>
                <w:sz w:val="20"/>
                <w:szCs w:val="20"/>
              </w:rPr>
              <w:t xml:space="preserve"> </w:t>
            </w:r>
            <w:r>
              <w:rPr>
                <w:rFonts w:ascii="方正仿宋_GBK" w:hAnsi="方正仿宋_GBK" w:eastAsia="方正仿宋_GBK" w:cs="方正仿宋_GBK"/>
                <w:spacing w:val="1"/>
                <w:w w:val="95"/>
                <w:sz w:val="20"/>
                <w:szCs w:val="20"/>
              </w:rPr>
              <w:t>国家保护林地，严</w:t>
            </w:r>
            <w:r>
              <w:rPr>
                <w:rFonts w:ascii="方正仿宋_GBK" w:hAnsi="方正仿宋_GBK" w:eastAsia="方正仿宋_GBK" w:cs="方正仿宋_GBK"/>
                <w:spacing w:val="2"/>
                <w:sz w:val="20"/>
                <w:szCs w:val="20"/>
              </w:rPr>
              <w:t>格控制林地转为非林地，实行占用林地总量控制，确保林地保有量不减少。各类建设项目占用林地不得超过本行政区域的占用林地总量控制指标。</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2.《中华人民共和国森林法》第三十七条矿藏勘查、开采以及其他各类工程建设，应当不占或者少占林地；确需占用林地的，应当经县级以上人民政府林业主管部门审核同意，依法办理建设用地审批手续。</w:t>
            </w:r>
            <w:r>
              <w:rPr>
                <w:rFonts w:ascii="方正仿宋_GBK" w:hAnsi="方正仿宋_GBK" w:eastAsia="方正仿宋_GBK" w:cs="方正仿宋_GBK"/>
                <w:spacing w:val="29"/>
                <w:w w:val="99"/>
                <w:sz w:val="20"/>
                <w:szCs w:val="20"/>
              </w:rPr>
              <w:t xml:space="preserve"> </w:t>
            </w:r>
            <w:r>
              <w:rPr>
                <w:rFonts w:ascii="方正仿宋_GBK" w:hAnsi="方正仿宋_GBK" w:eastAsia="方正仿宋_GBK" w:cs="方正仿宋_GBK"/>
                <w:spacing w:val="1"/>
                <w:w w:val="95"/>
                <w:sz w:val="20"/>
                <w:szCs w:val="20"/>
              </w:rPr>
              <w:t>占用林地的单位应当缴纳森林植被恢复费。森林植被恢复费</w:t>
            </w:r>
            <w:r>
              <w:rPr>
                <w:rFonts w:ascii="方正仿宋_GBK" w:hAnsi="方正仿宋_GBK" w:eastAsia="方正仿宋_GBK" w:cs="方正仿宋_GBK"/>
                <w:spacing w:val="2"/>
                <w:sz w:val="20"/>
                <w:szCs w:val="20"/>
              </w:rPr>
              <w:t>征收使用管理办法由国务院财政部门会同林业主管部门制定</w:t>
            </w:r>
            <w:r>
              <w:rPr>
                <w:rFonts w:ascii="方正仿宋_GBK" w:hAnsi="方正仿宋_GBK" w:eastAsia="方正仿宋_GBK" w:cs="方正仿宋_GBK"/>
                <w:sz w:val="20"/>
                <w:szCs w:val="20"/>
              </w:rPr>
              <w:t>。</w:t>
            </w:r>
          </w:p>
          <w:p>
            <w:pPr>
              <w:pStyle w:val="7"/>
              <w:spacing w:line="222"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tc>
        <w:tc>
          <w:tcPr>
            <w:tcW w:w="677" w:type="dxa"/>
          </w:tcPr>
          <w:p/>
        </w:tc>
      </w:tr>
    </w:tbl>
    <w:p/>
    <w:sectPr>
      <w:pgSz w:w="16840" w:h="11910" w:orient="landscape"/>
      <w:pgMar w:top="340" w:right="660" w:bottom="280" w:left="4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CE85E"/>
    <w:multiLevelType w:val="singleLevel"/>
    <w:tmpl w:val="7FBCE8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zlmZjlkZjAzMjYxNmNkYzVlYTMyMmRiMmE3YmQ1ZWMifQ=="/>
  </w:docVars>
  <w:rsids>
    <w:rsidRoot w:val="00000000"/>
    <w:rsid w:val="0CC649F0"/>
    <w:rsid w:val="357E7297"/>
    <w:rsid w:val="BDD78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892"/>
    </w:pPr>
    <w:rPr>
      <w:rFonts w:ascii="方正小标宋_GBK" w:hAnsi="方正小标宋_GBK" w:eastAsia="方正小标宋_GBK"/>
      <w:sz w:val="40"/>
      <w:szCs w:val="40"/>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2579</Words>
  <Characters>2592</Characters>
  <TotalTime>4</TotalTime>
  <ScaleCrop>false</ScaleCrop>
  <LinksUpToDate>false</LinksUpToDate>
  <CharactersWithSpaces>2658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2022-12-24T18:33:00Z</dcterms:created>
  <dc:creator>22673</dc:creator>
  <cp:lastModifiedBy>greatwall</cp:lastModifiedBy>
  <dcterms:modified xsi:type="dcterms:W3CDTF">2022-12-26T09:33:08Z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LastSaved">
    <vt:filetime>2022-12-24T00:00:00Z</vt:filetime>
  </property>
  <property fmtid="{D5CDD505-2E9C-101B-9397-08002B2CF9AE}" pid="4" name="KSOProductBuildVer">
    <vt:lpwstr>2052-11.8.2.10251</vt:lpwstr>
  </property>
  <property fmtid="{D5CDD505-2E9C-101B-9397-08002B2CF9AE}" pid="5" name="ICV">
    <vt:lpwstr>B16B5268548C4E0B8014E40E5CB64E2A</vt:lpwstr>
  </property>
</Properties>
</file>