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9" w:lineRule="exact"/>
        <w:ind w:left="1369" w:leftChars="0" w:right="0" w:hanging="1369" w:hangingChars="339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89" w:lineRule="exact"/>
        <w:ind w:left="1369" w:leftChars="0" w:right="0" w:hanging="1369" w:hangingChars="339"/>
        <w:jc w:val="center"/>
      </w:pPr>
      <w:bookmarkStart w:id="0" w:name="_GoBack"/>
      <w:r>
        <w:rPr>
          <w:rFonts w:hint="eastAsia"/>
          <w:spacing w:val="2"/>
          <w:lang w:eastAsia="zh-CN"/>
        </w:rPr>
        <w:t>株洲市工业</w:t>
      </w:r>
      <w:r>
        <w:rPr>
          <w:spacing w:val="2"/>
        </w:rPr>
        <w:t>和信息化</w:t>
      </w:r>
      <w:r>
        <w:rPr>
          <w:rFonts w:hint="eastAsia"/>
          <w:spacing w:val="2"/>
          <w:lang w:eastAsia="zh-CN"/>
        </w:rPr>
        <w:t>局</w:t>
      </w:r>
      <w:r>
        <w:rPr>
          <w:spacing w:val="2"/>
        </w:rPr>
        <w:t>涉企现场检查清单（2022年版）</w:t>
      </w:r>
    </w:p>
    <w:bookmarkEnd w:id="0"/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035"/>
        <w:gridCol w:w="1481"/>
        <w:gridCol w:w="1195"/>
        <w:gridCol w:w="1179"/>
        <w:gridCol w:w="1121"/>
        <w:gridCol w:w="1035"/>
        <w:gridCol w:w="1107"/>
        <w:gridCol w:w="4991"/>
        <w:gridCol w:w="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1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5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10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7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6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0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7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499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3" w:line="240" w:lineRule="auto"/>
              <w:ind w:left="9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103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1" w:lineRule="exact"/>
              <w:ind w:left="11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0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99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exac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2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对民用爆炸物品</w:t>
            </w:r>
          </w:p>
          <w:p>
            <w:pPr>
              <w:pStyle w:val="7"/>
              <w:spacing w:before="13" w:line="205" w:lineRule="auto"/>
              <w:ind w:left="27" w:right="22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生产、销售企业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执行相关法律法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规规章及有关规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定的监督检查、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安全监督管理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安全管理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8" w:right="45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27" w:right="10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每两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个月）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69" w:line="204" w:lineRule="auto"/>
              <w:ind w:left="27" w:right="10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《民用爆炸物品安全管理条例》第四条第一款民用爆炸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物品行业主管部门负责民用爆炸物品生产、销售的安全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监督管理。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exac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4" w:line="205" w:lineRule="auto"/>
              <w:ind w:left="27" w:right="22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对工业企业节能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法律、法规和节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能标准执行情况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的监督检查及违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法行为查处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节约能源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68" w:right="45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3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《中华人民共和国节约能源法》第十二条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县级以上人民</w:t>
            </w:r>
          </w:p>
          <w:p>
            <w:pPr>
              <w:pStyle w:val="7"/>
              <w:spacing w:before="14" w:line="205" w:lineRule="auto"/>
              <w:ind w:left="27" w:right="101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政府管理节能工作的部门和有关部门应当在各自的职责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范围内，加强对节能法律、法规和节能标准执行情况的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监督检查，依法查处违法用能行为。履行节能监督管理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职责不得向监督管理对象收取费用。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exac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对电力企业和用</w:t>
            </w:r>
          </w:p>
          <w:p>
            <w:pPr>
              <w:pStyle w:val="7"/>
              <w:spacing w:line="249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户执行电力法律</w:t>
            </w:r>
          </w:p>
          <w:p>
            <w:pPr>
              <w:pStyle w:val="7"/>
              <w:spacing w:before="22" w:line="250" w:lineRule="exact"/>
              <w:ind w:left="27" w:right="21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、行政法规的情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况的监督检查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电力安全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68" w:right="45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46"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70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27" w:right="54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《中华人民共和国电力法》第五十六条</w:t>
            </w:r>
            <w:r>
              <w:rPr>
                <w:rFonts w:ascii="方正仿宋_GBK" w:hAnsi="方正仿宋_GBK" w:eastAsia="方正仿宋_GBK" w:cs="方正仿宋_GBK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电力管理部门依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法对电力企业和用户执行电力法律、行政法规的情况进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行监督检查。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exact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27" w:right="22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对燃气经营企业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及用户执行相关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法律法规规章及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有关规定的监督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检查、安全检查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安全管理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68" w:right="45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5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27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12" w:line="205" w:lineRule="auto"/>
              <w:ind w:left="27" w:right="5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（管道天然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气企</w:t>
            </w:r>
            <w:r>
              <w:rPr>
                <w:rFonts w:ascii="方正仿宋_GBK" w:hAnsi="方正仿宋_GBK" w:eastAsia="方正仿宋_GBK" w:cs="方正仿宋_GBK"/>
                <w:spacing w:val="3"/>
                <w:w w:val="95"/>
                <w:sz w:val="20"/>
                <w:szCs w:val="20"/>
              </w:rPr>
              <w:t>业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/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半年、液化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石油气经营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单位及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CNG</w:t>
            </w:r>
            <w:r>
              <w:rPr>
                <w:rFonts w:ascii="方正仿宋_GBK" w:hAnsi="方正仿宋_GBK" w:eastAsia="方正仿宋_GBK" w:cs="方正仿宋_GBK"/>
                <w:spacing w:val="23"/>
                <w:w w:val="12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加气</w:t>
            </w:r>
            <w:r>
              <w:rPr>
                <w:rFonts w:ascii="方正仿宋_GBK" w:hAnsi="方正仿宋_GBK" w:eastAsia="方正仿宋_GBK" w:cs="方正仿宋_GBK"/>
                <w:spacing w:val="3"/>
                <w:w w:val="95"/>
                <w:sz w:val="20"/>
                <w:szCs w:val="20"/>
              </w:rPr>
              <w:t>站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/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季度）</w:t>
            </w:r>
          </w:p>
        </w:tc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05" w:lineRule="auto"/>
              <w:ind w:left="27" w:right="5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《城镇燃气管理条例》第四十一条</w:t>
            </w:r>
            <w:r>
              <w:rPr>
                <w:rFonts w:ascii="方正仿宋_GBK" w:hAnsi="方正仿宋_GBK" w:eastAsia="方正仿宋_GBK" w:cs="方正仿宋_GBK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燃气经营者应当建立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健全燃气安全评估和风险管理体系，发现燃气安全事故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隐患的，应当及时采取措施消除隐患。燃气管理部门以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及其他有关部门和单位应当根据各自职责，对燃气经营</w:t>
            </w:r>
          </w:p>
          <w:p>
            <w:pPr>
              <w:pStyle w:val="7"/>
              <w:spacing w:line="205" w:lineRule="auto"/>
              <w:ind w:left="27" w:right="10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、燃气使用的安全状况等进行监督检查，发现燃气安全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事故隐患的，应当通知燃气经营者、燃气用户及时采取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措施消除隐患；不及时消除隐患可能严重威胁公共安全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的，燃气管理部门以及其他有关部门和单位应当依法采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取措施，及时组织消除隐患，有关单位和个人应当予以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配合。</w:t>
            </w:r>
          </w:p>
        </w:tc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20" w:right="840" w:bottom="280" w:left="920" w:header="720" w:footer="720" w:gutter="0"/>
          <w:cols w:space="720" w:num="1"/>
        </w:sectPr>
      </w:pPr>
    </w:p>
    <w:p>
      <w:pPr>
        <w:spacing w:before="11" w:line="60" w:lineRule="exact"/>
        <w:rPr>
          <w:sz w:val="6"/>
          <w:szCs w:val="6"/>
        </w:rPr>
      </w:pPr>
    </w:p>
    <w:tbl>
      <w:tblPr>
        <w:tblStyle w:val="3"/>
        <w:tblpPr w:leftFromText="180" w:rightFromText="180" w:vertAnchor="text" w:horzAnchor="page" w:tblpX="884" w:tblpY="68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195"/>
        <w:gridCol w:w="1181"/>
        <w:gridCol w:w="1123"/>
        <w:gridCol w:w="1037"/>
        <w:gridCol w:w="1109"/>
        <w:gridCol w:w="4997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49" w:right="42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5" w:lineRule="auto"/>
              <w:ind w:left="27" w:right="2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对盐业生产、销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售单位执行相关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法律法规规章及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有关规定的监督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检查及举报的调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查处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理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9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安全管理</w:t>
            </w:r>
          </w:p>
        </w:tc>
        <w:tc>
          <w:tcPr>
            <w:tcW w:w="118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68" w:right="45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5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6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随机抽查</w:t>
            </w:r>
          </w:p>
        </w:tc>
        <w:tc>
          <w:tcPr>
            <w:tcW w:w="499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before="1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《食盐专营办法》第二十三条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4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盐业主管部门依法履行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监督检查职责，可以采取下列措施：（一）向有关单位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和个人了解情况；（二）查阅或者复制有关合同、票据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、账簿、购销记录及其他有关资料；（三）查封、扣押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0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与涉嫌盐业违法行为有关的食盐及原材料，以及用于违</w:t>
            </w:r>
          </w:p>
          <w:p>
            <w:pPr>
              <w:pStyle w:val="7"/>
              <w:spacing w:before="14" w:line="205" w:lineRule="auto"/>
              <w:ind w:left="27" w:right="10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法生产或者销售食盐的工具、设备；（四）查封涉嫌违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法生产或者销售食盐的场所。采取前款第三项、第四项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规定的措施，应当向盐业主管部门主要负责人书面报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告，并经批准。盐业主管部门调查涉嫌盐业违法行为，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应当遵守《中华人民共和国行政强制法》和其他有关法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律、行政法规的规定。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《食盐专营办法》第二十五条第二款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 xml:space="preserve"> 盐业主管部门、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食盐质量安全监督管理部门接到举报，应当及时依法调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查处理。对实名举报，盐业主管部门、食盐质量安全监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督管理部门应当为举报人保密，并将处理结果告知举报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4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人。</w:t>
            </w:r>
          </w:p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pgSz w:w="16840" w:h="11910" w:orient="landscape"/>
      <w:pgMar w:top="360" w:right="84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403B2979"/>
    <w:rsid w:val="54A17313"/>
    <w:rsid w:val="B7BCF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70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1170</Words>
  <Characters>1177</Characters>
  <TotalTime>1</TotalTime>
  <ScaleCrop>false</ScaleCrop>
  <LinksUpToDate>false</LinksUpToDate>
  <CharactersWithSpaces>1232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2022-12-24T18:10:00Z</dcterms:created>
  <dc:creator>22673</dc:creator>
  <cp:lastModifiedBy>greatwall</cp:lastModifiedBy>
  <dcterms:modified xsi:type="dcterms:W3CDTF">2022-12-26T08:45:15Z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8B86B86CD2194E97BE513EBA695E553A</vt:lpwstr>
  </property>
</Properties>
</file>