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3" w:lineRule="exact"/>
        <w:ind w:left="1454" w:leftChars="0" w:right="0" w:hanging="1454" w:hangingChars="360"/>
        <w:jc w:val="center"/>
        <w:rPr>
          <w:rFonts w:hint="eastAsia"/>
          <w:spacing w:val="2"/>
          <w:lang w:eastAsia="zh-CN"/>
        </w:rPr>
      </w:pPr>
    </w:p>
    <w:p>
      <w:pPr>
        <w:pStyle w:val="2"/>
        <w:spacing w:line="503" w:lineRule="exact"/>
        <w:ind w:left="1454" w:leftChars="0" w:right="0" w:hanging="1454" w:hangingChars="360"/>
        <w:jc w:val="center"/>
      </w:pPr>
      <w:r>
        <w:rPr>
          <w:rFonts w:hint="eastAsia"/>
          <w:spacing w:val="2"/>
          <w:lang w:eastAsia="zh-CN"/>
        </w:rPr>
        <w:t>株洲市</w:t>
      </w:r>
      <w:r>
        <w:rPr>
          <w:spacing w:val="2"/>
        </w:rPr>
        <w:t>发展和改革委员会涉企现场检查清单（2022年版）</w:t>
      </w:r>
    </w:p>
    <w:tbl>
      <w:tblPr>
        <w:tblStyle w:val="3"/>
        <w:tblW w:w="0" w:type="auto"/>
        <w:tblInd w:w="89" w:type="dxa"/>
        <w:tblLayout w:type="fixed"/>
        <w:tblCellMar>
          <w:top w:w="0" w:type="dxa"/>
          <w:left w:w="0" w:type="dxa"/>
          <w:bottom w:w="0" w:type="dxa"/>
          <w:right w:w="0" w:type="dxa"/>
        </w:tblCellMar>
      </w:tblPr>
      <w:tblGrid>
        <w:gridCol w:w="1037"/>
        <w:gridCol w:w="1037"/>
        <w:gridCol w:w="1512"/>
        <w:gridCol w:w="1210"/>
        <w:gridCol w:w="1109"/>
        <w:gridCol w:w="1109"/>
        <w:gridCol w:w="1037"/>
        <w:gridCol w:w="1123"/>
        <w:gridCol w:w="4795"/>
        <w:gridCol w:w="706"/>
      </w:tblGrid>
      <w:tr>
        <w:tblPrEx>
          <w:tblCellMar>
            <w:top w:w="0" w:type="dxa"/>
            <w:left w:w="0" w:type="dxa"/>
            <w:bottom w:w="0" w:type="dxa"/>
            <w:right w:w="0" w:type="dxa"/>
          </w:tblCellMar>
        </w:tblPrEx>
        <w:trPr>
          <w:trHeight w:val="288" w:hRule="exact"/>
        </w:trPr>
        <w:tc>
          <w:tcPr>
            <w:tcW w:w="1037" w:type="dxa"/>
            <w:vMerge w:val="restart"/>
            <w:tcBorders>
              <w:top w:val="single" w:color="000000" w:sz="8" w:space="0"/>
              <w:left w:val="single" w:color="000000" w:sz="8" w:space="0"/>
              <w:right w:val="single" w:color="000000" w:sz="8" w:space="0"/>
            </w:tcBorders>
          </w:tcPr>
          <w:p>
            <w:pPr>
              <w:pStyle w:val="7"/>
              <w:spacing w:before="46" w:line="240" w:lineRule="auto"/>
              <w:ind w:left="277"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序号</w:t>
            </w:r>
          </w:p>
        </w:tc>
        <w:tc>
          <w:tcPr>
            <w:tcW w:w="3759" w:type="dxa"/>
            <w:gridSpan w:val="3"/>
            <w:tcBorders>
              <w:top w:val="single" w:color="000000" w:sz="8" w:space="0"/>
              <w:left w:val="single" w:color="000000" w:sz="8" w:space="0"/>
              <w:bottom w:val="single" w:color="000000" w:sz="8" w:space="0"/>
              <w:right w:val="single" w:color="000000" w:sz="8" w:space="0"/>
            </w:tcBorders>
          </w:tcPr>
          <w:p>
            <w:pPr>
              <w:pStyle w:val="7"/>
              <w:spacing w:line="252" w:lineRule="exact"/>
              <w:ind w:left="14" w:right="0"/>
              <w:jc w:val="center"/>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检查事项</w:t>
            </w:r>
          </w:p>
        </w:tc>
        <w:tc>
          <w:tcPr>
            <w:tcW w:w="1109" w:type="dxa"/>
            <w:vMerge w:val="restart"/>
            <w:tcBorders>
              <w:top w:val="single" w:color="000000" w:sz="8" w:space="0"/>
              <w:left w:val="single" w:color="000000" w:sz="8" w:space="0"/>
              <w:right w:val="single" w:color="000000" w:sz="8" w:space="0"/>
            </w:tcBorders>
          </w:tcPr>
          <w:p>
            <w:pPr>
              <w:pStyle w:val="7"/>
              <w:spacing w:before="46" w:line="240" w:lineRule="auto"/>
              <w:ind w:left="73"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是否涉企</w:t>
            </w:r>
          </w:p>
        </w:tc>
        <w:tc>
          <w:tcPr>
            <w:tcW w:w="1109" w:type="dxa"/>
            <w:vMerge w:val="restart"/>
            <w:tcBorders>
              <w:top w:val="single" w:color="000000" w:sz="8" w:space="0"/>
              <w:left w:val="single" w:color="000000" w:sz="8" w:space="0"/>
              <w:right w:val="single" w:color="000000" w:sz="8" w:space="0"/>
            </w:tcBorders>
          </w:tcPr>
          <w:p>
            <w:pPr>
              <w:pStyle w:val="7"/>
              <w:spacing w:before="46" w:line="240" w:lineRule="auto"/>
              <w:ind w:left="73"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检查方式</w:t>
            </w:r>
          </w:p>
        </w:tc>
        <w:tc>
          <w:tcPr>
            <w:tcW w:w="1037" w:type="dxa"/>
            <w:vMerge w:val="restart"/>
            <w:tcBorders>
              <w:top w:val="single" w:color="000000" w:sz="8" w:space="0"/>
              <w:left w:val="single" w:color="000000" w:sz="8" w:space="0"/>
              <w:right w:val="single" w:color="000000" w:sz="8" w:space="0"/>
            </w:tcBorders>
          </w:tcPr>
          <w:p>
            <w:pPr>
              <w:pStyle w:val="7"/>
              <w:spacing w:line="227" w:lineRule="exact"/>
              <w:ind w:left="14" w:right="1"/>
              <w:jc w:val="center"/>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是否联合</w:t>
            </w:r>
          </w:p>
          <w:p>
            <w:pPr>
              <w:pStyle w:val="7"/>
              <w:spacing w:line="322" w:lineRule="exact"/>
              <w:ind w:left="14" w:right="1"/>
              <w:jc w:val="center"/>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w:t>
            </w:r>
          </w:p>
        </w:tc>
        <w:tc>
          <w:tcPr>
            <w:tcW w:w="1123" w:type="dxa"/>
            <w:vMerge w:val="restart"/>
            <w:tcBorders>
              <w:top w:val="single" w:color="000000" w:sz="8" w:space="0"/>
              <w:left w:val="single" w:color="000000" w:sz="8" w:space="0"/>
              <w:right w:val="single" w:color="000000" w:sz="8" w:space="0"/>
            </w:tcBorders>
          </w:tcPr>
          <w:p>
            <w:pPr>
              <w:pStyle w:val="7"/>
              <w:spacing w:before="46" w:line="240" w:lineRule="auto"/>
              <w:ind w:left="77"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检查频率</w:t>
            </w:r>
          </w:p>
        </w:tc>
        <w:tc>
          <w:tcPr>
            <w:tcW w:w="4795" w:type="dxa"/>
            <w:vMerge w:val="restart"/>
            <w:tcBorders>
              <w:top w:val="single" w:color="000000" w:sz="8" w:space="0"/>
              <w:left w:val="single" w:color="000000" w:sz="8" w:space="0"/>
              <w:right w:val="single" w:color="000000" w:sz="8" w:space="0"/>
            </w:tcBorders>
          </w:tcPr>
          <w:p>
            <w:pPr>
              <w:pStyle w:val="7"/>
              <w:spacing w:before="46" w:line="240" w:lineRule="auto"/>
              <w:ind w:left="15" w:right="0"/>
              <w:jc w:val="center"/>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检查依据</w:t>
            </w:r>
          </w:p>
        </w:tc>
        <w:tc>
          <w:tcPr>
            <w:tcW w:w="706" w:type="dxa"/>
            <w:vMerge w:val="restart"/>
            <w:tcBorders>
              <w:top w:val="single" w:color="000000" w:sz="8" w:space="0"/>
              <w:left w:val="single" w:color="000000" w:sz="8" w:space="0"/>
              <w:right w:val="single" w:color="000000" w:sz="8" w:space="0"/>
            </w:tcBorders>
          </w:tcPr>
          <w:p>
            <w:pPr>
              <w:pStyle w:val="7"/>
              <w:spacing w:before="46" w:line="240" w:lineRule="auto"/>
              <w:ind w:left="111"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备注</w:t>
            </w:r>
          </w:p>
        </w:tc>
      </w:tr>
      <w:tr>
        <w:tblPrEx>
          <w:tblCellMar>
            <w:top w:w="0" w:type="dxa"/>
            <w:left w:w="0" w:type="dxa"/>
            <w:bottom w:w="0" w:type="dxa"/>
            <w:right w:w="0" w:type="dxa"/>
          </w:tblCellMar>
        </w:tblPrEx>
        <w:trPr>
          <w:trHeight w:val="288" w:hRule="exact"/>
        </w:trPr>
        <w:tc>
          <w:tcPr>
            <w:tcW w:w="1037" w:type="dxa"/>
            <w:vMerge w:val="continue"/>
            <w:tcBorders>
              <w:left w:val="single" w:color="000000" w:sz="8" w:space="0"/>
              <w:bottom w:val="single" w:color="000000" w:sz="8" w:space="0"/>
              <w:right w:val="single" w:color="000000" w:sz="8" w:space="0"/>
            </w:tcBorders>
          </w:tcPr>
          <w:p/>
        </w:tc>
        <w:tc>
          <w:tcPr>
            <w:tcW w:w="1037" w:type="dxa"/>
            <w:tcBorders>
              <w:top w:val="single" w:color="000000" w:sz="8" w:space="0"/>
              <w:left w:val="single" w:color="000000" w:sz="8" w:space="0"/>
              <w:bottom w:val="single" w:color="000000" w:sz="8" w:space="0"/>
              <w:right w:val="single" w:color="000000" w:sz="8" w:space="0"/>
            </w:tcBorders>
          </w:tcPr>
          <w:p>
            <w:pPr>
              <w:pStyle w:val="7"/>
              <w:spacing w:line="252" w:lineRule="exact"/>
              <w:ind w:left="34"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事项类型</w:t>
            </w:r>
          </w:p>
        </w:tc>
        <w:tc>
          <w:tcPr>
            <w:tcW w:w="1512" w:type="dxa"/>
            <w:tcBorders>
              <w:top w:val="single" w:color="000000" w:sz="8" w:space="0"/>
              <w:left w:val="single" w:color="000000" w:sz="8" w:space="0"/>
              <w:bottom w:val="single" w:color="000000" w:sz="8" w:space="0"/>
              <w:right w:val="single" w:color="000000" w:sz="8" w:space="0"/>
            </w:tcBorders>
          </w:tcPr>
          <w:p>
            <w:pPr>
              <w:pStyle w:val="7"/>
              <w:spacing w:line="252" w:lineRule="exact"/>
              <w:ind w:left="34"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实施清单名称</w:t>
            </w:r>
          </w:p>
        </w:tc>
        <w:tc>
          <w:tcPr>
            <w:tcW w:w="1210" w:type="dxa"/>
            <w:tcBorders>
              <w:top w:val="single" w:color="000000" w:sz="8" w:space="0"/>
              <w:left w:val="single" w:color="000000" w:sz="8" w:space="0"/>
              <w:bottom w:val="single" w:color="000000" w:sz="8" w:space="0"/>
              <w:right w:val="single" w:color="000000" w:sz="8" w:space="0"/>
            </w:tcBorders>
          </w:tcPr>
          <w:p>
            <w:pPr>
              <w:pStyle w:val="7"/>
              <w:spacing w:line="252" w:lineRule="exact"/>
              <w:ind w:left="123" w:right="0"/>
              <w:jc w:val="left"/>
              <w:rPr>
                <w:rFonts w:ascii="方正黑体_GBK" w:hAnsi="方正黑体_GBK" w:eastAsia="方正黑体_GBK" w:cs="方正黑体_GBK"/>
                <w:sz w:val="20"/>
                <w:szCs w:val="20"/>
              </w:rPr>
            </w:pPr>
            <w:r>
              <w:rPr>
                <w:rFonts w:ascii="方正黑体_GBK" w:hAnsi="方正黑体_GBK" w:eastAsia="方正黑体_GBK" w:cs="方正黑体_GBK"/>
                <w:sz w:val="20"/>
                <w:szCs w:val="20"/>
              </w:rPr>
              <w:t>所涉领域</w:t>
            </w:r>
          </w:p>
        </w:tc>
        <w:tc>
          <w:tcPr>
            <w:tcW w:w="1109" w:type="dxa"/>
            <w:vMerge w:val="continue"/>
            <w:tcBorders>
              <w:left w:val="single" w:color="000000" w:sz="8" w:space="0"/>
              <w:bottom w:val="single" w:color="000000" w:sz="8" w:space="0"/>
              <w:right w:val="single" w:color="000000" w:sz="8" w:space="0"/>
            </w:tcBorders>
          </w:tcPr>
          <w:p/>
        </w:tc>
        <w:tc>
          <w:tcPr>
            <w:tcW w:w="1109" w:type="dxa"/>
            <w:vMerge w:val="continue"/>
            <w:tcBorders>
              <w:left w:val="single" w:color="000000" w:sz="8" w:space="0"/>
              <w:bottom w:val="single" w:color="000000" w:sz="8" w:space="0"/>
              <w:right w:val="single" w:color="000000" w:sz="8" w:space="0"/>
            </w:tcBorders>
          </w:tcPr>
          <w:p/>
        </w:tc>
        <w:tc>
          <w:tcPr>
            <w:tcW w:w="1037" w:type="dxa"/>
            <w:vMerge w:val="continue"/>
            <w:tcBorders>
              <w:left w:val="single" w:color="000000" w:sz="8" w:space="0"/>
              <w:bottom w:val="single" w:color="000000" w:sz="8" w:space="0"/>
              <w:right w:val="single" w:color="000000" w:sz="8" w:space="0"/>
            </w:tcBorders>
          </w:tcPr>
          <w:p/>
        </w:tc>
        <w:tc>
          <w:tcPr>
            <w:tcW w:w="1123" w:type="dxa"/>
            <w:vMerge w:val="continue"/>
            <w:tcBorders>
              <w:left w:val="single" w:color="000000" w:sz="8" w:space="0"/>
              <w:bottom w:val="single" w:color="000000" w:sz="8" w:space="0"/>
              <w:right w:val="single" w:color="000000" w:sz="8" w:space="0"/>
            </w:tcBorders>
          </w:tcPr>
          <w:p/>
        </w:tc>
        <w:tc>
          <w:tcPr>
            <w:tcW w:w="4795" w:type="dxa"/>
            <w:vMerge w:val="continue"/>
            <w:tcBorders>
              <w:left w:val="single" w:color="000000" w:sz="8" w:space="0"/>
              <w:bottom w:val="single" w:color="000000" w:sz="8" w:space="0"/>
              <w:right w:val="single" w:color="000000" w:sz="8" w:space="0"/>
            </w:tcBorders>
          </w:tcPr>
          <w:p/>
        </w:tc>
        <w:tc>
          <w:tcPr>
            <w:tcW w:w="706" w:type="dxa"/>
            <w:vMerge w:val="continue"/>
            <w:tcBorders>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1573" w:hRule="exact"/>
        </w:trPr>
        <w:tc>
          <w:tcPr>
            <w:tcW w:w="1037" w:type="dxa"/>
            <w:tcBorders>
              <w:top w:val="single" w:color="000000" w:sz="8" w:space="0"/>
              <w:left w:val="single" w:color="000000" w:sz="8" w:space="0"/>
              <w:bottom w:val="single" w:color="000000" w:sz="8" w:space="0"/>
              <w:right w:val="single" w:color="000000" w:sz="8" w:space="0"/>
            </w:tcBorders>
            <w:vAlign w:val="center"/>
          </w:tcPr>
          <w:p>
            <w:pPr>
              <w:pStyle w:val="7"/>
              <w:spacing w:line="240" w:lineRule="auto"/>
              <w:ind w:left="449" w:right="428"/>
              <w:jc w:val="center"/>
              <w:rPr>
                <w:rFonts w:ascii="方正仿宋_GBK" w:hAnsi="方正仿宋_GBK" w:eastAsia="方正仿宋_GBK" w:cs="方正仿宋_GBK"/>
                <w:sz w:val="20"/>
                <w:szCs w:val="20"/>
              </w:rPr>
            </w:pPr>
            <w:r>
              <w:rPr>
                <w:rFonts w:ascii="方正仿宋_GBK"/>
                <w:w w:val="75"/>
                <w:sz w:val="20"/>
              </w:rPr>
              <w:t>1</w:t>
            </w:r>
          </w:p>
        </w:tc>
        <w:tc>
          <w:tcPr>
            <w:tcW w:w="1037" w:type="dxa"/>
            <w:tcBorders>
              <w:top w:val="single" w:color="000000" w:sz="8" w:space="0"/>
              <w:left w:val="single" w:color="000000" w:sz="8" w:space="0"/>
              <w:bottom w:val="single" w:color="000000" w:sz="8" w:space="0"/>
              <w:right w:val="single" w:color="000000" w:sz="8" w:space="0"/>
            </w:tcBorders>
            <w:vAlign w:val="center"/>
          </w:tcPr>
          <w:p>
            <w:pPr>
              <w:pStyle w:val="7"/>
              <w:spacing w:line="240" w:lineRule="auto"/>
              <w:ind w:left="111"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tcBorders>
              <w:top w:val="single" w:color="000000" w:sz="8" w:space="0"/>
              <w:left w:val="single" w:color="000000" w:sz="8" w:space="0"/>
              <w:bottom w:val="single" w:color="000000" w:sz="8" w:space="0"/>
              <w:right w:val="single" w:color="000000" w:sz="8" w:space="0"/>
            </w:tcBorders>
            <w:vAlign w:val="center"/>
          </w:tcPr>
          <w:p>
            <w:pPr>
              <w:pStyle w:val="7"/>
              <w:spacing w:line="248" w:lineRule="exact"/>
              <w:ind w:left="449" w:right="0" w:hanging="403"/>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节能工作违法行</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3"/>
                <w:sz w:val="20"/>
                <w:szCs w:val="20"/>
              </w:rPr>
              <w:t>为查</w:t>
            </w:r>
            <w:r>
              <w:rPr>
                <w:rFonts w:ascii="方正仿宋_GBK" w:hAnsi="方正仿宋_GBK" w:eastAsia="方正仿宋_GBK" w:cs="方正仿宋_GBK"/>
                <w:sz w:val="20"/>
                <w:szCs w:val="20"/>
              </w:rPr>
              <w:t>处</w:t>
            </w:r>
          </w:p>
        </w:tc>
        <w:tc>
          <w:tcPr>
            <w:tcW w:w="1210" w:type="dxa"/>
            <w:tcBorders>
              <w:top w:val="single" w:color="000000" w:sz="8" w:space="0"/>
              <w:left w:val="single" w:color="000000" w:sz="8" w:space="0"/>
              <w:bottom w:val="single" w:color="000000" w:sz="8" w:space="0"/>
              <w:right w:val="single" w:color="000000" w:sz="8" w:space="0"/>
            </w:tcBorders>
            <w:vAlign w:val="center"/>
          </w:tcPr>
          <w:p>
            <w:pPr>
              <w:pStyle w:val="7"/>
              <w:spacing w:line="240" w:lineRule="auto"/>
              <w:ind w:left="197"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节能环保</w:t>
            </w:r>
          </w:p>
        </w:tc>
        <w:tc>
          <w:tcPr>
            <w:tcW w:w="1109" w:type="dxa"/>
            <w:tcBorders>
              <w:top w:val="single" w:color="000000" w:sz="8" w:space="0"/>
              <w:left w:val="single" w:color="000000" w:sz="8" w:space="0"/>
              <w:bottom w:val="single" w:color="000000" w:sz="8" w:space="0"/>
              <w:right w:val="single" w:color="000000" w:sz="8" w:space="0"/>
            </w:tcBorders>
            <w:vAlign w:val="center"/>
          </w:tcPr>
          <w:p>
            <w:pPr>
              <w:pStyle w:val="7"/>
              <w:spacing w:line="240" w:lineRule="auto"/>
              <w:ind w:left="429" w:right="418"/>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09" w:type="dxa"/>
            <w:tcBorders>
              <w:top w:val="single" w:color="000000" w:sz="8" w:space="0"/>
              <w:left w:val="single" w:color="000000" w:sz="8" w:space="0"/>
              <w:bottom w:val="single" w:color="000000" w:sz="8" w:space="0"/>
              <w:right w:val="single" w:color="000000" w:sz="8" w:space="0"/>
            </w:tcBorders>
            <w:vAlign w:val="center"/>
          </w:tcPr>
          <w:p>
            <w:pPr>
              <w:pStyle w:val="7"/>
              <w:spacing w:line="240" w:lineRule="auto"/>
              <w:ind w:left="349"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vAlign w:val="center"/>
          </w:tcPr>
          <w:p>
            <w:pPr>
              <w:pStyle w:val="7"/>
              <w:spacing w:line="205" w:lineRule="auto"/>
              <w:ind w:left="111" w:right="98"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是</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
                <w:w w:val="95"/>
                <w:sz w:val="20"/>
                <w:szCs w:val="20"/>
              </w:rPr>
              <w:t>发</w:t>
            </w:r>
            <w:r>
              <w:rPr>
                <w:rFonts w:ascii="方正仿宋_GBK" w:hAnsi="方正仿宋_GBK" w:eastAsia="方正仿宋_GBK" w:cs="方正仿宋_GBK"/>
                <w:w w:val="95"/>
                <w:sz w:val="20"/>
                <w:szCs w:val="20"/>
              </w:rPr>
              <w:t>改</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2"/>
                <w:w w:val="95"/>
                <w:sz w:val="20"/>
                <w:szCs w:val="20"/>
              </w:rPr>
              <w:t>委</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生态</w:t>
            </w:r>
            <w:r>
              <w:rPr>
                <w:rFonts w:ascii="方正仿宋_GBK" w:hAnsi="方正仿宋_GBK" w:eastAsia="方正仿宋_GBK" w:cs="方正仿宋_GBK"/>
                <w:spacing w:val="2"/>
                <w:w w:val="95"/>
                <w:sz w:val="20"/>
                <w:szCs w:val="20"/>
              </w:rPr>
              <w:t>环</w:t>
            </w:r>
            <w:r>
              <w:rPr>
                <w:rFonts w:ascii="方正仿宋_GBK" w:hAnsi="方正仿宋_GBK" w:eastAsia="方正仿宋_GBK" w:cs="方正仿宋_GBK"/>
                <w:w w:val="95"/>
                <w:sz w:val="20"/>
                <w:szCs w:val="20"/>
              </w:rPr>
              <w:t>境</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2"/>
                <w:w w:val="95"/>
                <w:sz w:val="20"/>
                <w:szCs w:val="20"/>
              </w:rPr>
              <w:t>局</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住</w:t>
            </w:r>
            <w:r>
              <w:rPr>
                <w:rFonts w:ascii="方正仿宋_GBK" w:hAnsi="方正仿宋_GBK" w:eastAsia="方正仿宋_GBK" w:cs="方正仿宋_GBK"/>
                <w:spacing w:val="2"/>
                <w:w w:val="95"/>
                <w:sz w:val="20"/>
                <w:szCs w:val="20"/>
              </w:rPr>
              <w:t>建</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局可联合</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sz w:val="20"/>
                <w:szCs w:val="20"/>
              </w:rPr>
              <w:t>检查</w:t>
            </w:r>
          </w:p>
        </w:tc>
        <w:tc>
          <w:tcPr>
            <w:tcW w:w="1123" w:type="dxa"/>
            <w:tcBorders>
              <w:top w:val="single" w:color="000000" w:sz="8" w:space="0"/>
              <w:left w:val="single" w:color="000000" w:sz="8" w:space="0"/>
              <w:bottom w:val="single" w:color="000000" w:sz="8" w:space="0"/>
              <w:right w:val="single" w:color="000000" w:sz="8" w:space="0"/>
            </w:tcBorders>
            <w:vAlign w:val="center"/>
          </w:tcPr>
          <w:p>
            <w:pPr>
              <w:pStyle w:val="7"/>
              <w:spacing w:line="270" w:lineRule="exact"/>
              <w:ind w:left="154"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line="270" w:lineRule="exact"/>
              <w:ind w:left="77" w:right="0"/>
              <w:jc w:val="center"/>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年）</w:t>
            </w:r>
          </w:p>
        </w:tc>
        <w:tc>
          <w:tcPr>
            <w:tcW w:w="4795" w:type="dxa"/>
            <w:tcBorders>
              <w:top w:val="single" w:color="000000" w:sz="8" w:space="0"/>
              <w:left w:val="single" w:color="000000" w:sz="8" w:space="0"/>
              <w:bottom w:val="single" w:color="000000" w:sz="8" w:space="0"/>
              <w:right w:val="single" w:color="000000" w:sz="8" w:space="0"/>
            </w:tcBorders>
          </w:tcPr>
          <w:p>
            <w:pPr>
              <w:pStyle w:val="7"/>
              <w:spacing w:before="117" w:line="205" w:lineRule="auto"/>
              <w:ind w:left="27" w:right="101"/>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《中华人民共和国节约能源法》第十二条县级以上人</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民政府管理节能工作的部门和有关部门应当在各自的</w:t>
            </w:r>
            <w:r>
              <w:rPr>
                <w:rFonts w:ascii="方正仿宋_GBK" w:hAnsi="方正仿宋_GBK" w:eastAsia="方正仿宋_GBK" w:cs="方正仿宋_GBK"/>
                <w:spacing w:val="40"/>
                <w:w w:val="99"/>
                <w:sz w:val="20"/>
                <w:szCs w:val="20"/>
              </w:rPr>
              <w:t xml:space="preserve"> </w:t>
            </w:r>
            <w:r>
              <w:rPr>
                <w:rFonts w:ascii="方正仿宋_GBK" w:hAnsi="方正仿宋_GBK" w:eastAsia="方正仿宋_GBK" w:cs="方正仿宋_GBK"/>
                <w:spacing w:val="1"/>
                <w:w w:val="95"/>
                <w:sz w:val="20"/>
                <w:szCs w:val="20"/>
              </w:rPr>
              <w:t>职责范围内，加强对节能法律、法规和节能标准执行</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情况的监督检查，依法查处违法用能行为。</w:t>
            </w:r>
          </w:p>
        </w:tc>
        <w:tc>
          <w:tcPr>
            <w:tcW w:w="706"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3860" w:hRule="exact"/>
        </w:trPr>
        <w:tc>
          <w:tcPr>
            <w:tcW w:w="1037" w:type="dxa"/>
            <w:tcBorders>
              <w:top w:val="single" w:color="000000" w:sz="8" w:space="0"/>
              <w:left w:val="single" w:color="000000" w:sz="8" w:space="0"/>
              <w:bottom w:val="single" w:color="auto" w:sz="4" w:space="0"/>
              <w:right w:val="single" w:color="000000" w:sz="8" w:space="0"/>
            </w:tcBorders>
            <w:vAlign w:val="center"/>
          </w:tcPr>
          <w:p>
            <w:pPr>
              <w:pStyle w:val="7"/>
              <w:spacing w:line="240" w:lineRule="auto"/>
              <w:ind w:left="449" w:right="428"/>
              <w:jc w:val="center"/>
              <w:rPr>
                <w:rFonts w:ascii="方正仿宋_GBK" w:hAnsi="方正仿宋_GBK" w:eastAsia="方正仿宋_GBK" w:cs="方正仿宋_GBK"/>
                <w:sz w:val="20"/>
                <w:szCs w:val="20"/>
              </w:rPr>
            </w:pPr>
            <w:r>
              <w:rPr>
                <w:rFonts w:ascii="方正仿宋_GBK"/>
                <w:sz w:val="20"/>
              </w:rPr>
              <w:t>2</w:t>
            </w:r>
          </w:p>
        </w:tc>
        <w:tc>
          <w:tcPr>
            <w:tcW w:w="1037" w:type="dxa"/>
            <w:tcBorders>
              <w:top w:val="single" w:color="000000" w:sz="8" w:space="0"/>
              <w:left w:val="single" w:color="000000" w:sz="8" w:space="0"/>
              <w:bottom w:val="single" w:color="auto" w:sz="4" w:space="0"/>
              <w:right w:val="single" w:color="000000" w:sz="8" w:space="0"/>
            </w:tcBorders>
            <w:vAlign w:val="center"/>
          </w:tcPr>
          <w:p>
            <w:pPr>
              <w:pStyle w:val="7"/>
              <w:spacing w:line="240" w:lineRule="auto"/>
              <w:ind w:left="111"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tcBorders>
              <w:top w:val="single" w:color="000000" w:sz="8" w:space="0"/>
              <w:left w:val="single" w:color="000000" w:sz="8" w:space="0"/>
              <w:bottom w:val="single" w:color="auto" w:sz="4" w:space="0"/>
              <w:right w:val="single" w:color="000000" w:sz="8" w:space="0"/>
            </w:tcBorders>
            <w:vAlign w:val="center"/>
          </w:tcPr>
          <w:p>
            <w:pPr>
              <w:pStyle w:val="7"/>
              <w:spacing w:line="250" w:lineRule="exact"/>
              <w:ind w:left="248" w:right="0" w:hanging="202"/>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油气长输管道违</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法行为查处</w:t>
            </w:r>
          </w:p>
        </w:tc>
        <w:tc>
          <w:tcPr>
            <w:tcW w:w="1210" w:type="dxa"/>
            <w:tcBorders>
              <w:top w:val="single" w:color="000000" w:sz="8" w:space="0"/>
              <w:left w:val="single" w:color="000000" w:sz="8" w:space="0"/>
              <w:bottom w:val="single" w:color="auto" w:sz="4" w:space="0"/>
              <w:right w:val="single" w:color="000000" w:sz="8" w:space="0"/>
            </w:tcBorders>
            <w:vAlign w:val="center"/>
          </w:tcPr>
          <w:p>
            <w:pPr>
              <w:pStyle w:val="7"/>
              <w:spacing w:line="250" w:lineRule="exact"/>
              <w:ind w:left="298" w:right="83" w:hanging="201"/>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长输油气管</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3"/>
                <w:sz w:val="20"/>
                <w:szCs w:val="20"/>
              </w:rPr>
              <w:t>道保</w:t>
            </w:r>
            <w:r>
              <w:rPr>
                <w:rFonts w:ascii="方正仿宋_GBK" w:hAnsi="方正仿宋_GBK" w:eastAsia="方正仿宋_GBK" w:cs="方正仿宋_GBK"/>
                <w:sz w:val="20"/>
                <w:szCs w:val="20"/>
              </w:rPr>
              <w:t>护</w:t>
            </w:r>
          </w:p>
        </w:tc>
        <w:tc>
          <w:tcPr>
            <w:tcW w:w="1109" w:type="dxa"/>
            <w:tcBorders>
              <w:top w:val="single" w:color="000000" w:sz="8" w:space="0"/>
              <w:left w:val="single" w:color="000000" w:sz="8" w:space="0"/>
              <w:bottom w:val="single" w:color="auto" w:sz="4" w:space="0"/>
              <w:right w:val="single" w:color="000000" w:sz="8" w:space="0"/>
            </w:tcBorders>
            <w:vAlign w:val="center"/>
          </w:tcPr>
          <w:p>
            <w:pPr>
              <w:pStyle w:val="7"/>
              <w:spacing w:line="240" w:lineRule="auto"/>
              <w:ind w:left="429" w:right="418"/>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09" w:type="dxa"/>
            <w:tcBorders>
              <w:top w:val="single" w:color="000000" w:sz="8" w:space="0"/>
              <w:left w:val="single" w:color="000000" w:sz="8" w:space="0"/>
              <w:bottom w:val="single" w:color="auto" w:sz="4" w:space="0"/>
              <w:right w:val="single" w:color="000000" w:sz="8" w:space="0"/>
            </w:tcBorders>
            <w:vAlign w:val="center"/>
          </w:tcPr>
          <w:p>
            <w:pPr>
              <w:pStyle w:val="7"/>
              <w:spacing w:line="240" w:lineRule="auto"/>
              <w:ind w:left="349"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auto" w:sz="4" w:space="0"/>
              <w:right w:val="single" w:color="000000" w:sz="8" w:space="0"/>
            </w:tcBorders>
            <w:vAlign w:val="center"/>
          </w:tcPr>
          <w:p>
            <w:pPr>
              <w:pStyle w:val="7"/>
              <w:spacing w:line="240" w:lineRule="auto"/>
              <w:ind w:left="13" w:right="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123" w:type="dxa"/>
            <w:tcBorders>
              <w:top w:val="single" w:color="000000" w:sz="8" w:space="0"/>
              <w:left w:val="single" w:color="000000" w:sz="8" w:space="0"/>
              <w:bottom w:val="single" w:color="auto" w:sz="4" w:space="0"/>
              <w:right w:val="single" w:color="000000" w:sz="8" w:space="0"/>
            </w:tcBorders>
            <w:vAlign w:val="center"/>
          </w:tcPr>
          <w:p>
            <w:pPr>
              <w:pStyle w:val="7"/>
              <w:spacing w:line="205" w:lineRule="auto"/>
              <w:ind w:left="53" w:right="42" w:firstLine="1"/>
              <w:jc w:val="center"/>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巡</w:t>
            </w:r>
            <w:r>
              <w:rPr>
                <w:rFonts w:ascii="方正仿宋_GBK" w:hAnsi="方正仿宋_GBK" w:eastAsia="方正仿宋_GBK" w:cs="方正仿宋_GBK"/>
                <w:spacing w:val="5"/>
                <w:sz w:val="20"/>
                <w:szCs w:val="20"/>
              </w:rPr>
              <w:t>查</w:t>
            </w:r>
            <w:r>
              <w:rPr>
                <w:rFonts w:ascii="方正仿宋_GBK" w:hAnsi="方正仿宋_GBK" w:eastAsia="方正仿宋_GBK" w:cs="方正仿宋_GBK"/>
                <w:spacing w:val="-2"/>
                <w:sz w:val="20"/>
                <w:szCs w:val="20"/>
              </w:rPr>
              <w:t>+</w:t>
            </w:r>
            <w:r>
              <w:rPr>
                <w:rFonts w:ascii="方正仿宋_GBK" w:hAnsi="方正仿宋_GBK" w:eastAsia="方正仿宋_GBK" w:cs="方正仿宋_GBK"/>
                <w:spacing w:val="3"/>
                <w:sz w:val="20"/>
                <w:szCs w:val="20"/>
              </w:rPr>
              <w:t>定</w:t>
            </w:r>
            <w:r>
              <w:rPr>
                <w:rFonts w:ascii="方正仿宋_GBK" w:hAnsi="方正仿宋_GBK" w:eastAsia="方正仿宋_GBK" w:cs="方正仿宋_GBK"/>
                <w:sz w:val="20"/>
                <w:szCs w:val="20"/>
              </w:rPr>
              <w:t>期</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检查（不少</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sz w:val="20"/>
                <w:szCs w:val="20"/>
              </w:rPr>
              <w:t>于2次/月）</w:t>
            </w:r>
          </w:p>
        </w:tc>
        <w:tc>
          <w:tcPr>
            <w:tcW w:w="4795" w:type="dxa"/>
            <w:tcBorders>
              <w:top w:val="single" w:color="000000" w:sz="8" w:space="0"/>
              <w:left w:val="single" w:color="000000" w:sz="8" w:space="0"/>
              <w:bottom w:val="single" w:color="auto" w:sz="4" w:space="0"/>
              <w:right w:val="single" w:color="000000" w:sz="8" w:space="0"/>
            </w:tcBorders>
          </w:tcPr>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pacing w:val="2"/>
                <w:sz w:val="20"/>
                <w:szCs w:val="20"/>
              </w:rPr>
            </w:pPr>
            <w:r>
              <w:rPr>
                <w:rFonts w:ascii="方正仿宋_GBK" w:hAnsi="方正仿宋_GBK" w:eastAsia="方正仿宋_GBK" w:cs="方正仿宋_GBK"/>
                <w:spacing w:val="2"/>
                <w:sz w:val="20"/>
                <w:szCs w:val="20"/>
              </w:rPr>
              <w:t>1.《中华人民共和国石油天然气管道保护法》第五条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w:t>
            </w:r>
            <w:r>
              <w:rPr>
                <w:rFonts w:ascii="方正仿宋_GBK" w:hAnsi="方正仿宋_GBK" w:eastAsia="方正仿宋_GBK" w:cs="方正仿宋_GBK"/>
                <w:spacing w:val="1"/>
                <w:w w:val="95"/>
                <w:sz w:val="20"/>
                <w:szCs w:val="20"/>
              </w:rPr>
              <w:t>规的规定，在各自职责范围内负责管道保护的相关工</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1"/>
                <w:w w:val="95"/>
                <w:sz w:val="20"/>
                <w:szCs w:val="20"/>
              </w:rPr>
              <w:t>作。省、自治区、直辖市人民政府能源主管部门和设</w:t>
            </w:r>
            <w:r>
              <w:rPr>
                <w:rFonts w:ascii="方正仿宋_GBK" w:hAnsi="方正仿宋_GBK" w:eastAsia="方正仿宋_GBK" w:cs="方正仿宋_GBK"/>
                <w:spacing w:val="2"/>
                <w:sz w:val="20"/>
                <w:szCs w:val="20"/>
              </w:rPr>
              <w:t>区的市级、县级人民政府指定的部门，统称县级以上地方人民政府主管管道保护工作的部门。</w:t>
            </w:r>
          </w:p>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2.《中华人民共和国石油天然气管道保护法》第六条县级以上地方人民政府应当加强对本行政区域管道保护工作的领导，督促、检查有关部门依法履行管道保护职责，组织排除管道的重大外部安全隐患。</w:t>
            </w:r>
          </w:p>
        </w:tc>
        <w:tc>
          <w:tcPr>
            <w:tcW w:w="706" w:type="dxa"/>
            <w:tcBorders>
              <w:top w:val="single" w:color="000000" w:sz="8" w:space="0"/>
              <w:left w:val="single" w:color="000000" w:sz="8" w:space="0"/>
              <w:bottom w:val="single" w:color="auto" w:sz="4" w:space="0"/>
              <w:right w:val="single" w:color="000000" w:sz="8" w:space="0"/>
            </w:tcBorders>
          </w:tcPr>
          <w:p/>
        </w:tc>
      </w:tr>
      <w:tr>
        <w:tblPrEx>
          <w:tblCellMar>
            <w:top w:w="0" w:type="dxa"/>
            <w:left w:w="0" w:type="dxa"/>
            <w:bottom w:w="0" w:type="dxa"/>
            <w:right w:w="0" w:type="dxa"/>
          </w:tblCellMar>
        </w:tblPrEx>
        <w:trPr>
          <w:trHeight w:val="2568" w:hRule="exact"/>
        </w:trPr>
        <w:tc>
          <w:tcPr>
            <w:tcW w:w="1037"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449" w:right="428"/>
              <w:jc w:val="center"/>
              <w:rPr>
                <w:rFonts w:ascii="方正仿宋_GBK" w:hAnsi="方正仿宋_GBK" w:eastAsia="方正仿宋_GBK" w:cs="方正仿宋_GBK"/>
                <w:sz w:val="20"/>
                <w:szCs w:val="20"/>
              </w:rPr>
            </w:pPr>
            <w:r>
              <w:rPr>
                <w:rFonts w:ascii="方正仿宋_GBK"/>
                <w:w w:val="95"/>
                <w:sz w:val="20"/>
              </w:rPr>
              <w:t>3</w:t>
            </w:r>
          </w:p>
        </w:tc>
        <w:tc>
          <w:tcPr>
            <w:tcW w:w="1037"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111"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12" w:type="dxa"/>
            <w:tcBorders>
              <w:top w:val="single" w:color="auto" w:sz="4" w:space="0"/>
              <w:left w:val="single" w:color="auto" w:sz="4" w:space="0"/>
              <w:bottom w:val="single" w:color="auto" w:sz="4" w:space="0"/>
              <w:right w:val="single" w:color="auto" w:sz="4" w:space="0"/>
            </w:tcBorders>
            <w:vAlign w:val="center"/>
          </w:tcPr>
          <w:p>
            <w:pPr>
              <w:pStyle w:val="7"/>
              <w:spacing w:line="250" w:lineRule="exact"/>
              <w:ind w:left="248" w:right="0" w:hanging="202"/>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粮食管理工作违</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法行为查处</w:t>
            </w:r>
          </w:p>
        </w:tc>
        <w:tc>
          <w:tcPr>
            <w:tcW w:w="1210"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197"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粮食管理</w:t>
            </w:r>
          </w:p>
        </w:tc>
        <w:tc>
          <w:tcPr>
            <w:tcW w:w="110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429" w:right="418"/>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109"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349"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111" w:right="0"/>
              <w:jc w:val="center"/>
              <w:rPr>
                <w:rFonts w:ascii="方正仿宋_GBK" w:hAnsi="方正仿宋_GBK" w:eastAsia="方正仿宋_GBK" w:cs="方正仿宋_GBK"/>
                <w:spacing w:val="3"/>
                <w:sz w:val="20"/>
                <w:szCs w:val="20"/>
              </w:rPr>
            </w:pPr>
            <w:r>
              <w:rPr>
                <w:rFonts w:ascii="方正仿宋_GBK" w:hAnsi="方正仿宋_GBK" w:eastAsia="方正仿宋_GBK" w:cs="方正仿宋_GBK"/>
                <w:spacing w:val="3"/>
                <w:sz w:val="20"/>
                <w:szCs w:val="20"/>
              </w:rPr>
              <w:t>是</w:t>
            </w:r>
            <w:r>
              <w:rPr>
                <w:rFonts w:ascii="方正仿宋_GBK" w:hAnsi="方正仿宋_GBK" w:eastAsia="方正仿宋_GBK" w:cs="方正仿宋_GBK"/>
                <w:spacing w:val="2"/>
                <w:sz w:val="20"/>
                <w:szCs w:val="20"/>
              </w:rPr>
              <w:t>，</w:t>
            </w:r>
            <w:r>
              <w:rPr>
                <w:rFonts w:ascii="方正仿宋_GBK" w:hAnsi="方正仿宋_GBK" w:eastAsia="方正仿宋_GBK" w:cs="方正仿宋_GBK"/>
                <w:sz w:val="20"/>
                <w:szCs w:val="20"/>
              </w:rPr>
              <w:t>发</w:t>
            </w:r>
          </w:p>
          <w:p>
            <w:pPr>
              <w:pStyle w:val="7"/>
              <w:spacing w:line="218" w:lineRule="exact"/>
              <w:ind w:left="111"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改委</w:t>
            </w:r>
          </w:p>
          <w:p>
            <w:pPr>
              <w:pStyle w:val="7"/>
              <w:spacing w:line="197" w:lineRule="exact"/>
              <w:ind w:left="111" w:right="0"/>
              <w:jc w:val="center"/>
              <w:rPr>
                <w:rFonts w:hint="eastAsia" w:ascii="方正仿宋_GBK" w:hAnsi="方正仿宋_GBK" w:eastAsia="方正仿宋_GBK" w:cs="方正仿宋_GBK"/>
                <w:sz w:val="20"/>
                <w:szCs w:val="20"/>
                <w:lang w:eastAsia="zh-CN"/>
              </w:rPr>
            </w:pPr>
            <w:r>
              <w:rPr>
                <w:rFonts w:ascii="方正仿宋_GBK" w:hAnsi="方正仿宋_GBK" w:eastAsia="方正仿宋_GBK" w:cs="方正仿宋_GBK"/>
                <w:spacing w:val="2"/>
                <w:sz w:val="20"/>
                <w:szCs w:val="20"/>
              </w:rPr>
              <w:t>、农</w:t>
            </w:r>
            <w:r>
              <w:rPr>
                <w:rFonts w:hint="eastAsia" w:ascii="方正仿宋_GBK" w:hAnsi="方正仿宋_GBK" w:eastAsia="方正仿宋_GBK" w:cs="方正仿宋_GBK"/>
                <w:spacing w:val="2"/>
                <w:sz w:val="20"/>
                <w:szCs w:val="20"/>
                <w:lang w:eastAsia="zh-CN"/>
              </w:rPr>
              <w:t>业农村局</w:t>
            </w:r>
          </w:p>
          <w:p>
            <w:pPr>
              <w:pStyle w:val="7"/>
              <w:spacing w:before="22" w:line="250" w:lineRule="exact"/>
              <w:ind w:left="111" w:right="98"/>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bookmarkStart w:id="0" w:name="_GoBack"/>
            <w:bookmarkEnd w:id="0"/>
            <w:r>
              <w:rPr>
                <w:rFonts w:ascii="方正仿宋_GBK" w:hAnsi="方正仿宋_GBK" w:eastAsia="方正仿宋_GBK" w:cs="方正仿宋_GBK"/>
                <w:spacing w:val="1"/>
                <w:w w:val="95"/>
                <w:sz w:val="20"/>
                <w:szCs w:val="20"/>
              </w:rPr>
              <w:t>市场</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w w:val="95"/>
                <w:sz w:val="20"/>
                <w:szCs w:val="20"/>
              </w:rPr>
              <w:t>监管局等</w:t>
            </w:r>
          </w:p>
          <w:p>
            <w:pPr>
              <w:pStyle w:val="7"/>
              <w:spacing w:line="218" w:lineRule="exact"/>
              <w:ind w:left="111"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部门可联</w:t>
            </w:r>
          </w:p>
          <w:p>
            <w:pPr>
              <w:pStyle w:val="7"/>
              <w:spacing w:line="217" w:lineRule="exact"/>
              <w:ind w:left="111"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合检</w:t>
            </w:r>
            <w:r>
              <w:rPr>
                <w:rFonts w:ascii="方正仿宋_GBK" w:hAnsi="方正仿宋_GBK" w:eastAsia="方正仿宋_GBK" w:cs="方正仿宋_GBK"/>
                <w:spacing w:val="2"/>
                <w:sz w:val="20"/>
                <w:szCs w:val="20"/>
              </w:rPr>
              <w:t>查</w:t>
            </w:r>
            <w:r>
              <w:rPr>
                <w:rFonts w:ascii="方正仿宋_GBK" w:hAnsi="方正仿宋_GBK" w:eastAsia="方正仿宋_GBK" w:cs="方正仿宋_GBK"/>
                <w:sz w:val="20"/>
                <w:szCs w:val="20"/>
              </w:rPr>
              <w:t>。</w:t>
            </w:r>
          </w:p>
        </w:tc>
        <w:tc>
          <w:tcPr>
            <w:tcW w:w="1123"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53" w:right="0"/>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不定期检查</w:t>
            </w:r>
          </w:p>
        </w:tc>
        <w:tc>
          <w:tcPr>
            <w:tcW w:w="4795" w:type="dxa"/>
            <w:tcBorders>
              <w:top w:val="single" w:color="auto" w:sz="4" w:space="0"/>
              <w:left w:val="single" w:color="auto" w:sz="4" w:space="0"/>
              <w:bottom w:val="single" w:color="auto" w:sz="4" w:space="0"/>
              <w:right w:val="single" w:color="auto" w:sz="4" w:space="0"/>
            </w:tcBorders>
            <w:vAlign w:val="center"/>
          </w:tcPr>
          <w:p>
            <w:pPr>
              <w:pStyle w:val="7"/>
              <w:tabs>
                <w:tab w:val="left" w:pos="2857"/>
              </w:tabs>
              <w:spacing w:before="96" w:line="240" w:lineRule="auto"/>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《粮食流通管理条例》第七条</w:t>
            </w:r>
            <w:r>
              <w:rPr>
                <w:rFonts w:ascii="方正仿宋_GBK" w:hAnsi="方正仿宋_GBK" w:eastAsia="方正仿宋_GBK" w:cs="方正仿宋_GBK"/>
                <w:spacing w:val="2"/>
                <w:sz w:val="20"/>
                <w:szCs w:val="20"/>
              </w:rPr>
              <w:tab/>
            </w:r>
            <w:r>
              <w:rPr>
                <w:rFonts w:ascii="方正仿宋_GBK" w:hAnsi="方正仿宋_GBK" w:eastAsia="方正仿宋_GBK" w:cs="方正仿宋_GBK"/>
                <w:spacing w:val="2"/>
                <w:sz w:val="20"/>
                <w:szCs w:val="20"/>
              </w:rPr>
              <w:t>省、自治区、直辖市应当落实粮食安全党政同责，完善粮食安全省长责任制，承担保障本行政区域粮食安全的主体责任，在国家宏观调控下，负责本行政区域粮食的总量平衡和地方储备粮等的管理。</w:t>
            </w:r>
            <w:r>
              <w:rPr>
                <w:rFonts w:ascii="方正仿宋_GBK" w:hAnsi="方正仿宋_GBK" w:eastAsia="方正仿宋_GBK" w:cs="方正仿宋_GBK"/>
                <w:spacing w:val="28"/>
                <w:w w:val="99"/>
                <w:sz w:val="20"/>
                <w:szCs w:val="20"/>
              </w:rPr>
              <w:t xml:space="preserve"> </w:t>
            </w:r>
            <w:r>
              <w:rPr>
                <w:rFonts w:ascii="方正仿宋_GBK" w:hAnsi="方正仿宋_GBK" w:eastAsia="方正仿宋_GBK" w:cs="方正仿宋_GBK"/>
                <w:spacing w:val="1"/>
                <w:w w:val="95"/>
                <w:sz w:val="20"/>
                <w:szCs w:val="20"/>
              </w:rPr>
              <w:t>县级以上地方人民政府粮食和储备行政管理部门负责</w:t>
            </w:r>
          </w:p>
          <w:p>
            <w:pPr>
              <w:pStyle w:val="7"/>
              <w:spacing w:line="218" w:lineRule="exact"/>
              <w:ind w:left="27"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本行政区域粮食流通的行政管理、行业指导；县级以上地方人民政府市场监督管理、卫生健康等部门在各自的职责范围内负责与粮食流通有关的工作。</w:t>
            </w:r>
          </w:p>
        </w:tc>
        <w:tc>
          <w:tcPr>
            <w:tcW w:w="706" w:type="dxa"/>
            <w:tcBorders>
              <w:top w:val="single" w:color="auto" w:sz="4" w:space="0"/>
              <w:left w:val="single" w:color="auto" w:sz="4" w:space="0"/>
              <w:bottom w:val="single" w:color="auto" w:sz="4" w:space="0"/>
              <w:right w:val="single" w:color="auto" w:sz="4" w:space="0"/>
            </w:tcBorders>
          </w:tcPr>
          <w:p/>
        </w:tc>
      </w:tr>
    </w:tbl>
    <w:p/>
    <w:sectPr>
      <w:type w:val="continuous"/>
      <w:pgSz w:w="16840" w:h="11910" w:orient="landscape"/>
      <w:pgMar w:top="420" w:right="1040" w:bottom="28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049D7ADB"/>
    <w:rsid w:val="1CDB5A71"/>
    <w:rsid w:val="57FE2DF8"/>
    <w:rsid w:val="68FF5D89"/>
    <w:rsid w:val="FFFF34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456"/>
    </w:pPr>
    <w:rPr>
      <w:rFonts w:ascii="方正小标宋_GBK" w:hAnsi="方正小标宋_GBK" w:eastAsia="方正小标宋_GBK"/>
      <w:sz w:val="40"/>
      <w:szCs w:val="40"/>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837</Words>
  <Characters>842</Characters>
  <TotalTime>3</TotalTime>
  <ScaleCrop>false</ScaleCrop>
  <LinksUpToDate>false</LinksUpToDate>
  <CharactersWithSpaces>859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2022-12-24T18:05:00Z</dcterms:created>
  <dc:creator>22673</dc:creator>
  <cp:lastModifiedBy>greatwall</cp:lastModifiedBy>
  <dcterms:modified xsi:type="dcterms:W3CDTF">2022-12-26T09:18:09Z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C49F95FDD12B47CBABD5A897EE647821</vt:lpwstr>
  </property>
</Properties>
</file>