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98" w:lineRule="exact"/>
        <w:ind w:left="2718" w:leftChars="0" w:right="0" w:hanging="2718" w:hangingChars="673"/>
        <w:jc w:val="center"/>
        <w:rPr>
          <w:rFonts w:hint="eastAsia"/>
          <w:spacing w:val="2"/>
          <w:lang w:eastAsia="zh-CN"/>
        </w:rPr>
      </w:pPr>
    </w:p>
    <w:p>
      <w:pPr>
        <w:pStyle w:val="2"/>
        <w:spacing w:line="498" w:lineRule="exact"/>
        <w:ind w:left="2718" w:leftChars="0" w:right="0" w:hanging="2718" w:hangingChars="673"/>
        <w:jc w:val="center"/>
      </w:pPr>
      <w:r>
        <w:rPr>
          <w:rFonts w:hint="eastAsia"/>
          <w:spacing w:val="2"/>
          <w:lang w:eastAsia="zh-CN"/>
        </w:rPr>
        <w:t>株洲市</w:t>
      </w:r>
      <w:r>
        <w:rPr>
          <w:spacing w:val="2"/>
        </w:rPr>
        <w:t>财政局涉企现场检查清单（2022年版）</w:t>
      </w:r>
    </w:p>
    <w:tbl>
      <w:tblPr>
        <w:tblStyle w:val="3"/>
        <w:tblW w:w="0" w:type="auto"/>
        <w:tblInd w:w="98" w:type="dxa"/>
        <w:tblLayout w:type="fixed"/>
        <w:tblCellMar>
          <w:top w:w="0" w:type="dxa"/>
          <w:left w:w="0" w:type="dxa"/>
          <w:bottom w:w="0" w:type="dxa"/>
          <w:right w:w="0" w:type="dxa"/>
        </w:tblCellMar>
      </w:tblPr>
      <w:tblGrid>
        <w:gridCol w:w="1037"/>
        <w:gridCol w:w="1037"/>
        <w:gridCol w:w="1512"/>
        <w:gridCol w:w="1224"/>
        <w:gridCol w:w="1181"/>
        <w:gridCol w:w="1094"/>
        <w:gridCol w:w="1037"/>
        <w:gridCol w:w="1152"/>
        <w:gridCol w:w="5198"/>
        <w:gridCol w:w="662"/>
      </w:tblGrid>
      <w:tr>
        <w:tblPrEx>
          <w:tblCellMar>
            <w:top w:w="0" w:type="dxa"/>
            <w:left w:w="0" w:type="dxa"/>
            <w:bottom w:w="0" w:type="dxa"/>
            <w:right w:w="0" w:type="dxa"/>
          </w:tblCellMar>
        </w:tblPrEx>
        <w:trPr>
          <w:trHeight w:val="288" w:hRule="exact"/>
        </w:trPr>
        <w:tc>
          <w:tcPr>
            <w:tcW w:w="1037" w:type="dxa"/>
            <w:vMerge w:val="restart"/>
            <w:tcBorders>
              <w:top w:val="single" w:color="000000" w:sz="8" w:space="0"/>
              <w:left w:val="single" w:color="000000" w:sz="8" w:space="0"/>
              <w:right w:val="single" w:color="000000" w:sz="8" w:space="0"/>
            </w:tcBorders>
          </w:tcPr>
          <w:p>
            <w:pPr>
              <w:pStyle w:val="7"/>
              <w:spacing w:before="45" w:line="240" w:lineRule="auto"/>
              <w:ind w:left="27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3773" w:type="dxa"/>
            <w:gridSpan w:val="3"/>
            <w:tcBorders>
              <w:top w:val="single" w:color="000000" w:sz="8" w:space="0"/>
              <w:left w:val="single" w:color="000000" w:sz="8" w:space="0"/>
              <w:bottom w:val="single" w:color="000000" w:sz="8" w:space="0"/>
              <w:right w:val="single" w:color="000000" w:sz="8" w:space="0"/>
            </w:tcBorders>
          </w:tcPr>
          <w:p>
            <w:pPr>
              <w:pStyle w:val="7"/>
              <w:spacing w:line="251" w:lineRule="exact"/>
              <w:ind w:left="14"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181" w:type="dxa"/>
            <w:vMerge w:val="restart"/>
            <w:tcBorders>
              <w:top w:val="single" w:color="000000" w:sz="8" w:space="0"/>
              <w:left w:val="single" w:color="000000" w:sz="8" w:space="0"/>
              <w:right w:val="single" w:color="000000" w:sz="8" w:space="0"/>
            </w:tcBorders>
          </w:tcPr>
          <w:p>
            <w:pPr>
              <w:pStyle w:val="7"/>
              <w:spacing w:before="45" w:line="240" w:lineRule="auto"/>
              <w:ind w:left="10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094" w:type="dxa"/>
            <w:vMerge w:val="restart"/>
            <w:tcBorders>
              <w:top w:val="single" w:color="000000" w:sz="8" w:space="0"/>
              <w:left w:val="single" w:color="000000" w:sz="8" w:space="0"/>
              <w:right w:val="single" w:color="000000" w:sz="8" w:space="0"/>
            </w:tcBorders>
          </w:tcPr>
          <w:p>
            <w:pPr>
              <w:pStyle w:val="7"/>
              <w:spacing w:before="45" w:line="240" w:lineRule="auto"/>
              <w:ind w:left="66"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37" w:type="dxa"/>
            <w:vMerge w:val="restart"/>
            <w:tcBorders>
              <w:top w:val="single" w:color="000000" w:sz="8" w:space="0"/>
              <w:left w:val="single" w:color="000000" w:sz="8" w:space="0"/>
              <w:right w:val="single" w:color="000000" w:sz="8" w:space="0"/>
            </w:tcBorders>
          </w:tcPr>
          <w:p>
            <w:pPr>
              <w:pStyle w:val="7"/>
              <w:spacing w:line="227" w:lineRule="exact"/>
              <w:ind w:left="15" w:right="1"/>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2" w:lineRule="exact"/>
              <w:ind w:left="15" w:right="1"/>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152" w:type="dxa"/>
            <w:vMerge w:val="restart"/>
            <w:tcBorders>
              <w:top w:val="single" w:color="000000" w:sz="8" w:space="0"/>
              <w:left w:val="single" w:color="000000" w:sz="8" w:space="0"/>
              <w:right w:val="single" w:color="000000" w:sz="8" w:space="0"/>
            </w:tcBorders>
          </w:tcPr>
          <w:p>
            <w:pPr>
              <w:pStyle w:val="7"/>
              <w:spacing w:before="45" w:line="240" w:lineRule="auto"/>
              <w:ind w:left="95"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5198" w:type="dxa"/>
            <w:vMerge w:val="restart"/>
            <w:tcBorders>
              <w:top w:val="single" w:color="000000" w:sz="8" w:space="0"/>
              <w:left w:val="single" w:color="000000" w:sz="8" w:space="0"/>
              <w:right w:val="single" w:color="000000" w:sz="8" w:space="0"/>
            </w:tcBorders>
          </w:tcPr>
          <w:p>
            <w:pPr>
              <w:pStyle w:val="7"/>
              <w:spacing w:before="45" w:line="240" w:lineRule="auto"/>
              <w:ind w:left="18"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662" w:type="dxa"/>
            <w:vMerge w:val="restart"/>
            <w:tcBorders>
              <w:top w:val="single" w:color="000000" w:sz="8" w:space="0"/>
              <w:left w:val="single" w:color="000000" w:sz="8" w:space="0"/>
              <w:right w:val="single" w:color="000000" w:sz="8" w:space="0"/>
            </w:tcBorders>
          </w:tcPr>
          <w:p>
            <w:pPr>
              <w:pStyle w:val="7"/>
              <w:spacing w:before="45" w:line="240" w:lineRule="auto"/>
              <w:ind w:left="8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CellMar>
            <w:top w:w="0" w:type="dxa"/>
            <w:left w:w="0" w:type="dxa"/>
            <w:bottom w:w="0" w:type="dxa"/>
            <w:right w:w="0" w:type="dxa"/>
          </w:tblCellMar>
        </w:tblPrEx>
        <w:trPr>
          <w:trHeight w:val="288" w:hRule="exact"/>
        </w:trPr>
        <w:tc>
          <w:tcPr>
            <w:tcW w:w="1037" w:type="dxa"/>
            <w:vMerge w:val="continue"/>
            <w:tcBorders>
              <w:left w:val="single" w:color="000000" w:sz="8" w:space="0"/>
              <w:bottom w:val="single" w:color="000000" w:sz="8" w:space="0"/>
              <w:right w:val="single" w:color="000000" w:sz="8" w:space="0"/>
            </w:tcBorders>
          </w:tc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51" w:lineRule="exact"/>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512" w:type="dxa"/>
            <w:tcBorders>
              <w:top w:val="single" w:color="000000" w:sz="8" w:space="0"/>
              <w:left w:val="single" w:color="000000" w:sz="8" w:space="0"/>
              <w:bottom w:val="single" w:color="000000" w:sz="8" w:space="0"/>
              <w:right w:val="single" w:color="000000" w:sz="8" w:space="0"/>
            </w:tcBorders>
          </w:tcPr>
          <w:p>
            <w:pPr>
              <w:pStyle w:val="7"/>
              <w:spacing w:line="251" w:lineRule="exact"/>
              <w:ind w:left="35"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实施清单名称</w:t>
            </w:r>
          </w:p>
        </w:tc>
        <w:tc>
          <w:tcPr>
            <w:tcW w:w="1224" w:type="dxa"/>
            <w:tcBorders>
              <w:top w:val="single" w:color="000000" w:sz="8" w:space="0"/>
              <w:left w:val="single" w:color="000000" w:sz="8" w:space="0"/>
              <w:bottom w:val="single" w:color="000000" w:sz="8" w:space="0"/>
              <w:right w:val="single" w:color="000000" w:sz="8" w:space="0"/>
            </w:tcBorders>
          </w:tcPr>
          <w:p>
            <w:pPr>
              <w:pStyle w:val="7"/>
              <w:spacing w:line="251" w:lineRule="exact"/>
              <w:ind w:left="13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181" w:type="dxa"/>
            <w:vMerge w:val="continue"/>
            <w:tcBorders>
              <w:left w:val="single" w:color="000000" w:sz="8" w:space="0"/>
              <w:bottom w:val="single" w:color="000000" w:sz="8" w:space="0"/>
              <w:right w:val="single" w:color="000000" w:sz="8" w:space="0"/>
            </w:tcBorders>
          </w:tcPr>
          <w:p/>
        </w:tc>
        <w:tc>
          <w:tcPr>
            <w:tcW w:w="1094"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152" w:type="dxa"/>
            <w:vMerge w:val="continue"/>
            <w:tcBorders>
              <w:left w:val="single" w:color="000000" w:sz="8" w:space="0"/>
              <w:bottom w:val="single" w:color="000000" w:sz="8" w:space="0"/>
              <w:right w:val="single" w:color="000000" w:sz="8" w:space="0"/>
            </w:tcBorders>
          </w:tcPr>
          <w:p/>
        </w:tc>
        <w:tc>
          <w:tcPr>
            <w:tcW w:w="5198" w:type="dxa"/>
            <w:vMerge w:val="continue"/>
            <w:tcBorders>
              <w:left w:val="single" w:color="000000" w:sz="8" w:space="0"/>
              <w:bottom w:val="single" w:color="000000" w:sz="8" w:space="0"/>
              <w:right w:val="single" w:color="000000" w:sz="8" w:space="0"/>
            </w:tcBorders>
          </w:tcPr>
          <w:p/>
        </w:tc>
        <w:tc>
          <w:tcPr>
            <w:tcW w:w="662" w:type="dxa"/>
            <w:vMerge w:val="continue"/>
            <w:tcBorders>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2323" w:hRule="exact"/>
        </w:trPr>
        <w:tc>
          <w:tcPr>
            <w:tcW w:w="1037"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7" w:right="1"/>
              <w:jc w:val="center"/>
              <w:rPr>
                <w:rFonts w:ascii="方正仿宋_GBK" w:hAnsi="方正仿宋_GBK" w:eastAsia="方正仿宋_GBK" w:cs="方正仿宋_GBK"/>
                <w:sz w:val="20"/>
                <w:szCs w:val="20"/>
              </w:rPr>
            </w:pPr>
            <w:r>
              <w:rPr>
                <w:rFonts w:ascii="方正仿宋_GBK"/>
                <w:w w:val="75"/>
                <w:sz w:val="20"/>
              </w:rPr>
              <w:t>1</w:t>
            </w:r>
          </w:p>
        </w:tc>
        <w:tc>
          <w:tcPr>
            <w:tcW w:w="1037"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vMerge w:val="restart"/>
            <w:tcBorders>
              <w:top w:val="single" w:color="000000" w:sz="8" w:space="0"/>
              <w:left w:val="single" w:color="000000" w:sz="8" w:space="0"/>
              <w:bottom w:val="single" w:color="auto" w:sz="4" w:space="0"/>
              <w:right w:val="single" w:color="000000" w:sz="8" w:space="0"/>
            </w:tcBorders>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4" w:lineRule="auto"/>
              <w:ind w:left="63" w:right="49"/>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对金融企业国有</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资产转让情况的</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监督检查</w:t>
            </w:r>
          </w:p>
        </w:tc>
        <w:tc>
          <w:tcPr>
            <w:tcW w:w="1224"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财政</w:t>
            </w:r>
          </w:p>
        </w:tc>
        <w:tc>
          <w:tcPr>
            <w:tcW w:w="1181"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65" w:right="454"/>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94"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4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vMerge w:val="restart"/>
            <w:tcBorders>
              <w:top w:val="single" w:color="000000" w:sz="8" w:space="0"/>
              <w:left w:val="single" w:color="000000" w:sz="8" w:space="0"/>
              <w:bottom w:val="single" w:color="auto" w:sz="4"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40" w:lineRule="exact"/>
              <w:ind w:right="0"/>
              <w:jc w:val="left"/>
              <w:rPr>
                <w:sz w:val="24"/>
                <w:szCs w:val="24"/>
              </w:rPr>
            </w:pPr>
          </w:p>
          <w:p>
            <w:pPr>
              <w:pStyle w:val="7"/>
              <w:spacing w:line="205" w:lineRule="auto"/>
              <w:ind w:left="111" w:right="98"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是</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财</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政</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国</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资委可联</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3"/>
                <w:sz w:val="20"/>
                <w:szCs w:val="20"/>
              </w:rPr>
              <w:t>合检</w:t>
            </w:r>
            <w:r>
              <w:rPr>
                <w:rFonts w:ascii="方正仿宋_GBK" w:hAnsi="方正仿宋_GBK" w:eastAsia="方正仿宋_GBK" w:cs="方正仿宋_GBK"/>
                <w:sz w:val="20"/>
                <w:szCs w:val="20"/>
              </w:rPr>
              <w:t>查</w:t>
            </w:r>
          </w:p>
        </w:tc>
        <w:tc>
          <w:tcPr>
            <w:tcW w:w="1152" w:type="dxa"/>
            <w:vMerge w:val="restart"/>
            <w:tcBorders>
              <w:top w:val="single" w:color="000000" w:sz="8" w:space="0"/>
              <w:left w:val="single" w:color="000000" w:sz="8" w:space="0"/>
              <w:bottom w:val="single" w:color="auto" w:sz="4" w:space="0"/>
              <w:right w:val="single" w:color="000000" w:sz="8" w:space="0"/>
            </w:tcBorders>
          </w:tcPr>
          <w:p>
            <w:pPr>
              <w:pStyle w:val="7"/>
              <w:spacing w:before="9" w:line="170" w:lineRule="exact"/>
              <w:ind w:right="0"/>
              <w:jc w:val="left"/>
              <w:rPr>
                <w:sz w:val="17"/>
                <w:szCs w:val="17"/>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6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198" w:type="dxa"/>
            <w:tcBorders>
              <w:top w:val="single" w:color="000000" w:sz="8" w:space="0"/>
              <w:left w:val="single" w:color="000000" w:sz="8" w:space="0"/>
              <w:bottom w:val="single" w:color="auto" w:sz="4" w:space="0"/>
              <w:right w:val="single" w:color="000000" w:sz="8" w:space="0"/>
            </w:tcBorders>
          </w:tcPr>
          <w:p>
            <w:pPr>
              <w:pStyle w:val="7"/>
              <w:spacing w:before="109" w:line="240"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《金融企业国有资产转让管理办法》（财政部令第</w:t>
            </w:r>
            <w:r>
              <w:rPr>
                <w:rFonts w:ascii="方正仿宋_GBK" w:hAnsi="方正仿宋_GBK" w:eastAsia="方正仿宋_GBK" w:cs="方正仿宋_GBK"/>
                <w:spacing w:val="1"/>
                <w:sz w:val="20"/>
                <w:szCs w:val="20"/>
              </w:rPr>
              <w:t>5</w:t>
            </w:r>
            <w:r>
              <w:rPr>
                <w:rFonts w:ascii="方正仿宋_GBK" w:hAnsi="方正仿宋_GBK" w:eastAsia="方正仿宋_GBK" w:cs="方正仿宋_GBK"/>
                <w:spacing w:val="2"/>
                <w:sz w:val="20"/>
                <w:szCs w:val="20"/>
              </w:rPr>
              <w:t>4号）</w:t>
            </w:r>
            <w:r>
              <w:rPr>
                <w:rFonts w:ascii="方正仿宋_GBK" w:hAnsi="方正仿宋_GBK" w:eastAsia="方正仿宋_GBK" w:cs="方正仿宋_GBK"/>
                <w:spacing w:val="1"/>
                <w:w w:val="95"/>
                <w:sz w:val="20"/>
                <w:szCs w:val="20"/>
              </w:rPr>
              <w:t>第七条第一款</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2"/>
                <w:w w:val="95"/>
                <w:sz w:val="20"/>
                <w:szCs w:val="20"/>
              </w:rPr>
              <w:t xml:space="preserve"> </w:t>
            </w:r>
            <w:r>
              <w:rPr>
                <w:rFonts w:ascii="方正仿宋_GBK" w:hAnsi="方正仿宋_GBK" w:eastAsia="方正仿宋_GBK" w:cs="方正仿宋_GBK"/>
                <w:spacing w:val="1"/>
                <w:w w:val="95"/>
                <w:sz w:val="20"/>
                <w:szCs w:val="20"/>
              </w:rPr>
              <w:t>金融企业国有资产转让按照统一政策、分级</w:t>
            </w:r>
            <w:r>
              <w:rPr>
                <w:rFonts w:ascii="方正仿宋_GBK" w:hAnsi="方正仿宋_GBK" w:eastAsia="方正仿宋_GBK" w:cs="方正仿宋_GBK"/>
                <w:spacing w:val="2"/>
                <w:sz w:val="20"/>
                <w:szCs w:val="20"/>
              </w:rPr>
              <w:t>管理的原则，由财政部门负责监督管理。财政部门转让金</w:t>
            </w:r>
            <w:r>
              <w:rPr>
                <w:rFonts w:ascii="方正仿宋_GBK" w:hAnsi="方正仿宋_GBK" w:eastAsia="方正仿宋_GBK" w:cs="方正仿宋_GBK"/>
                <w:spacing w:val="1"/>
                <w:w w:val="95"/>
                <w:sz w:val="20"/>
                <w:szCs w:val="20"/>
              </w:rPr>
              <w:t>融企业国有资产，应当报本级人民政府批准。政府授权投</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1"/>
                <w:w w:val="95"/>
                <w:sz w:val="20"/>
                <w:szCs w:val="20"/>
              </w:rPr>
              <w:t>资主体转让金融企业国有资产，应当报本级财政部门批准</w:t>
            </w:r>
          </w:p>
          <w:p>
            <w:pPr>
              <w:pStyle w:val="7"/>
              <w:spacing w:line="246"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。第九条第（三）项</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2"/>
                <w:w w:val="95"/>
                <w:sz w:val="20"/>
                <w:szCs w:val="20"/>
              </w:rPr>
              <w:t xml:space="preserve"> </w:t>
            </w:r>
            <w:r>
              <w:rPr>
                <w:rFonts w:ascii="方正仿宋_GBK" w:hAnsi="方正仿宋_GBK" w:eastAsia="方正仿宋_GBK" w:cs="方正仿宋_GBK"/>
                <w:spacing w:val="1"/>
                <w:w w:val="95"/>
                <w:sz w:val="20"/>
                <w:szCs w:val="20"/>
              </w:rPr>
              <w:t>财政部门对金融企业国有资产转让履</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行下列监督管理职责：（三）负责金融企业国有资产转让</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情况的监督检查工作。</w:t>
            </w:r>
          </w:p>
        </w:tc>
        <w:tc>
          <w:tcPr>
            <w:tcW w:w="662" w:type="dxa"/>
            <w:vMerge w:val="restart"/>
            <w:tcBorders>
              <w:top w:val="single" w:color="000000" w:sz="8" w:space="0"/>
              <w:left w:val="single" w:color="000000" w:sz="8" w:space="0"/>
              <w:bottom w:val="single" w:color="auto" w:sz="4" w:space="0"/>
              <w:right w:val="single" w:color="000000" w:sz="8" w:space="0"/>
            </w:tcBorders>
          </w:tcPr>
          <w:p/>
        </w:tc>
      </w:tr>
      <w:tr>
        <w:tblPrEx>
          <w:tblCellMar>
            <w:top w:w="0" w:type="dxa"/>
            <w:left w:w="0" w:type="dxa"/>
            <w:bottom w:w="0" w:type="dxa"/>
            <w:right w:w="0" w:type="dxa"/>
          </w:tblCellMar>
        </w:tblPrEx>
        <w:trPr>
          <w:trHeight w:val="2691" w:hRule="exact"/>
        </w:trPr>
        <w:tc>
          <w:tcPr>
            <w:tcW w:w="1037"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7" w:right="1"/>
              <w:jc w:val="center"/>
              <w:rPr>
                <w:rFonts w:ascii="方正仿宋_GBK" w:hAnsi="方正仿宋_GBK" w:eastAsia="方正仿宋_GBK" w:cs="方正仿宋_GBK"/>
                <w:sz w:val="20"/>
                <w:szCs w:val="20"/>
              </w:rPr>
            </w:pPr>
            <w:r>
              <w:rPr>
                <w:rFonts w:ascii="方正仿宋_GBK"/>
                <w:sz w:val="20"/>
              </w:rPr>
              <w:t>2</w:t>
            </w:r>
          </w:p>
        </w:tc>
        <w:tc>
          <w:tcPr>
            <w:tcW w:w="1037"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vMerge w:val="restart"/>
            <w:tcBorders>
              <w:top w:val="single" w:color="auto" w:sz="4" w:space="0"/>
              <w:left w:val="single" w:color="auto" w:sz="4" w:space="0"/>
              <w:bottom w:val="single" w:color="auto" w:sz="4" w:space="0"/>
              <w:right w:val="single" w:color="auto" w:sz="4"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 w:line="280" w:lineRule="exact"/>
              <w:ind w:right="0"/>
              <w:jc w:val="left"/>
              <w:rPr>
                <w:sz w:val="28"/>
                <w:szCs w:val="28"/>
              </w:rPr>
            </w:pPr>
          </w:p>
          <w:p>
            <w:pPr>
              <w:pStyle w:val="7"/>
              <w:spacing w:line="250" w:lineRule="exact"/>
              <w:ind w:left="653" w:right="0" w:hanging="607"/>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政府采购监督检</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z w:val="20"/>
                <w:szCs w:val="20"/>
              </w:rPr>
              <w:t>查</w:t>
            </w:r>
          </w:p>
        </w:tc>
        <w:tc>
          <w:tcPr>
            <w:tcW w:w="1224"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财政</w:t>
            </w:r>
          </w:p>
        </w:tc>
        <w:tc>
          <w:tcPr>
            <w:tcW w:w="1181"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65" w:right="454"/>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94"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4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vMerge w:val="restart"/>
            <w:tcBorders>
              <w:top w:val="single" w:color="auto" w:sz="4" w:space="0"/>
              <w:left w:val="single" w:color="auto" w:sz="4" w:space="0"/>
              <w:bottom w:val="single" w:color="auto" w:sz="4" w:space="0"/>
              <w:right w:val="single" w:color="auto" w:sz="4" w:space="0"/>
            </w:tcBorders>
          </w:tcPr>
          <w:p>
            <w:pPr>
              <w:pStyle w:val="7"/>
              <w:spacing w:before="4"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52" w:type="dxa"/>
            <w:vMerge w:val="restart"/>
            <w:tcBorders>
              <w:top w:val="single" w:color="auto" w:sz="4" w:space="0"/>
              <w:left w:val="single" w:color="auto" w:sz="4" w:space="0"/>
              <w:bottom w:val="single" w:color="auto" w:sz="4" w:space="0"/>
              <w:right w:val="single" w:color="auto" w:sz="4"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9" w:line="220" w:lineRule="exact"/>
              <w:ind w:right="0"/>
              <w:jc w:val="left"/>
              <w:rPr>
                <w:sz w:val="22"/>
                <w:szCs w:val="22"/>
              </w:rPr>
            </w:pPr>
          </w:p>
          <w:p>
            <w:pPr>
              <w:pStyle w:val="7"/>
              <w:spacing w:line="270" w:lineRule="exact"/>
              <w:ind w:left="16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93"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5198" w:type="dxa"/>
            <w:tcBorders>
              <w:top w:val="single" w:color="auto" w:sz="4" w:space="0"/>
              <w:left w:val="single" w:color="auto" w:sz="4" w:space="0"/>
              <w:bottom w:val="single" w:color="auto" w:sz="4" w:space="0"/>
              <w:right w:val="single" w:color="auto" w:sz="4" w:space="0"/>
            </w:tcBorders>
          </w:tcPr>
          <w:p>
            <w:pPr>
              <w:pStyle w:val="7"/>
              <w:spacing w:line="214" w:lineRule="exact"/>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《中华人民共和国政府采购法实施条例》第六十三条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65"/>
                <w:w w:val="95"/>
                <w:sz w:val="20"/>
                <w:szCs w:val="20"/>
              </w:rPr>
              <w:t xml:space="preserve"> </w:t>
            </w:r>
            <w:r>
              <w:rPr>
                <w:rFonts w:ascii="方正仿宋_GBK" w:hAnsi="方正仿宋_GBK" w:eastAsia="方正仿宋_GBK" w:cs="方正仿宋_GBK"/>
                <w:w w:val="95"/>
                <w:sz w:val="20"/>
                <w:szCs w:val="20"/>
              </w:rPr>
              <w:t>各</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级人民政府财政部门和其他有关部门应当加强对参加政府</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采购活动的供应商、采购代理机构、评审专家的监督管</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理，对其不良行为予以记录，并纳入统一的信用信息平台</w:t>
            </w:r>
          </w:p>
          <w:p>
            <w:pPr>
              <w:pStyle w:val="7"/>
              <w:spacing w:line="196"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p>
          <w:p>
            <w:pPr>
              <w:pStyle w:val="7"/>
              <w:spacing w:before="20" w:line="25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《中华人民共和国政府采购法》第十三条第一款</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0"/>
                <w:w w:val="95"/>
                <w:sz w:val="20"/>
                <w:szCs w:val="20"/>
              </w:rPr>
              <w:t xml:space="preserve"> </w:t>
            </w:r>
            <w:r>
              <w:rPr>
                <w:rFonts w:ascii="方正仿宋_GBK" w:hAnsi="方正仿宋_GBK" w:eastAsia="方正仿宋_GBK" w:cs="方正仿宋_GBK"/>
                <w:spacing w:val="1"/>
                <w:w w:val="95"/>
                <w:sz w:val="20"/>
                <w:szCs w:val="20"/>
              </w:rPr>
              <w:t>各级人</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民政府财政部门是负责政府采购监督管理的部门，依法履</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行对政府采购活动的监督管理职责。</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3</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《中华人民共和国政府采购法》第五十九条第一款</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7"/>
                <w:w w:val="95"/>
                <w:sz w:val="20"/>
                <w:szCs w:val="20"/>
              </w:rPr>
              <w:t xml:space="preserve"> </w:t>
            </w:r>
            <w:r>
              <w:rPr>
                <w:rFonts w:ascii="方正仿宋_GBK" w:hAnsi="方正仿宋_GBK" w:eastAsia="方正仿宋_GBK" w:cs="方正仿宋_GBK"/>
                <w:w w:val="95"/>
                <w:sz w:val="20"/>
                <w:szCs w:val="20"/>
              </w:rPr>
              <w:t>政府</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采购监督管理部门应当加强对政府采购活动及集中采购机</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构的监督检查。</w:t>
            </w:r>
          </w:p>
        </w:tc>
        <w:tc>
          <w:tcPr>
            <w:tcW w:w="662" w:type="dxa"/>
            <w:vMerge w:val="restart"/>
            <w:tcBorders>
              <w:top w:val="single" w:color="auto" w:sz="4" w:space="0"/>
              <w:left w:val="single" w:color="auto" w:sz="4" w:space="0"/>
              <w:bottom w:val="single" w:color="auto" w:sz="4" w:space="0"/>
              <w:right w:val="single" w:color="auto" w:sz="4" w:space="0"/>
            </w:tcBorders>
          </w:tcPr>
          <w:p/>
        </w:tc>
      </w:tr>
      <w:tr>
        <w:tblPrEx>
          <w:tblCellMar>
            <w:top w:w="0" w:type="dxa"/>
            <w:left w:w="0" w:type="dxa"/>
            <w:bottom w:w="0" w:type="dxa"/>
            <w:right w:w="0" w:type="dxa"/>
          </w:tblCellMar>
        </w:tblPrEx>
        <w:trPr>
          <w:trHeight w:val="3040" w:hRule="exact"/>
        </w:trPr>
        <w:tc>
          <w:tcPr>
            <w:tcW w:w="1037"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7" w:right="1"/>
              <w:jc w:val="center"/>
              <w:rPr>
                <w:rFonts w:ascii="方正仿宋_GBK" w:hAnsi="方正仿宋_GBK" w:eastAsia="方正仿宋_GBK" w:cs="方正仿宋_GBK"/>
                <w:sz w:val="20"/>
                <w:szCs w:val="20"/>
              </w:rPr>
            </w:pPr>
            <w:r>
              <w:rPr>
                <w:rFonts w:ascii="方正仿宋_GBK"/>
                <w:w w:val="95"/>
                <w:sz w:val="20"/>
              </w:rPr>
              <w:t>3</w:t>
            </w:r>
          </w:p>
        </w:tc>
        <w:tc>
          <w:tcPr>
            <w:tcW w:w="1037"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auto" w:sz="4" w:space="0"/>
              <w:left w:val="single" w:color="auto" w:sz="4" w:space="0"/>
              <w:bottom w:val="single" w:color="auto" w:sz="4" w:space="0"/>
              <w:right w:val="single" w:color="auto" w:sz="4"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0" w:line="240" w:lineRule="exact"/>
              <w:ind w:right="0"/>
              <w:jc w:val="left"/>
              <w:rPr>
                <w:sz w:val="24"/>
                <w:szCs w:val="24"/>
              </w:rPr>
            </w:pPr>
          </w:p>
          <w:p>
            <w:pPr>
              <w:pStyle w:val="7"/>
              <w:spacing w:line="246" w:lineRule="exact"/>
              <w:ind w:left="4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对财政票据使用</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单位的监督检查</w:t>
            </w:r>
          </w:p>
        </w:tc>
        <w:tc>
          <w:tcPr>
            <w:tcW w:w="1224"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财政</w:t>
            </w:r>
          </w:p>
        </w:tc>
        <w:tc>
          <w:tcPr>
            <w:tcW w:w="1181"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65" w:right="454"/>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094"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4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auto" w:sz="4" w:space="0"/>
              <w:left w:val="single" w:color="auto" w:sz="4" w:space="0"/>
              <w:bottom w:val="single" w:color="auto" w:sz="4" w:space="0"/>
              <w:right w:val="single" w:color="auto" w:sz="4" w:space="0"/>
            </w:tcBorders>
          </w:tcPr>
          <w:p>
            <w:pPr>
              <w:pStyle w:val="7"/>
              <w:spacing w:before="6"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52" w:type="dxa"/>
            <w:tcBorders>
              <w:top w:val="single" w:color="auto" w:sz="4" w:space="0"/>
              <w:left w:val="single" w:color="auto" w:sz="4" w:space="0"/>
              <w:bottom w:val="single" w:color="auto" w:sz="4" w:space="0"/>
              <w:right w:val="single" w:color="auto" w:sz="4"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4" w:line="200" w:lineRule="exact"/>
              <w:ind w:right="0"/>
              <w:jc w:val="left"/>
              <w:rPr>
                <w:sz w:val="20"/>
                <w:szCs w:val="20"/>
              </w:rPr>
            </w:pPr>
          </w:p>
          <w:p>
            <w:pPr>
              <w:pStyle w:val="7"/>
              <w:spacing w:line="269" w:lineRule="exact"/>
              <w:ind w:left="16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69" w:lineRule="exact"/>
              <w:ind w:left="93"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5198" w:type="dxa"/>
            <w:tcBorders>
              <w:top w:val="single" w:color="auto" w:sz="4" w:space="0"/>
              <w:left w:val="single" w:color="auto" w:sz="4" w:space="0"/>
              <w:bottom w:val="single" w:color="auto" w:sz="4" w:space="0"/>
              <w:right w:val="single" w:color="auto" w:sz="4" w:space="0"/>
            </w:tcBorders>
          </w:tcPr>
          <w:p>
            <w:pPr>
              <w:pStyle w:val="7"/>
              <w:spacing w:line="196"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《财政票据管理办法》（财政部令第7</w:t>
            </w:r>
            <w:r>
              <w:rPr>
                <w:rFonts w:ascii="方正仿宋_GBK" w:hAnsi="方正仿宋_GBK" w:eastAsia="方正仿宋_GBK" w:cs="方正仿宋_GBK"/>
                <w:spacing w:val="1"/>
                <w:sz w:val="20"/>
                <w:szCs w:val="20"/>
              </w:rPr>
              <w:t>0</w:t>
            </w:r>
            <w:r>
              <w:rPr>
                <w:rFonts w:ascii="方正仿宋_GBK" w:hAnsi="方正仿宋_GBK" w:eastAsia="方正仿宋_GBK" w:cs="方正仿宋_GBK"/>
                <w:spacing w:val="2"/>
                <w:sz w:val="20"/>
                <w:szCs w:val="20"/>
              </w:rPr>
              <w:t>号）第四条财政部</w:t>
            </w:r>
          </w:p>
          <w:p>
            <w:pPr>
              <w:pStyle w:val="7"/>
              <w:spacing w:line="26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门是财政票据的主管部门。省、自治区、直辖市人民政府</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财政部门（以下简称省级财政部门）负责本行政区域财政</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票据的印制、发放、核销、销毁和监督检查等工作，指导</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下级财政部门财政票据管理工作。省级以下财政部门负责</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本行政区域财政票据的申领、发放、核销、销毁和监督检</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查等工作。</w:t>
            </w:r>
            <w:bookmarkStart w:id="0" w:name="_GoBack"/>
            <w:bookmarkEnd w:id="0"/>
          </w:p>
        </w:tc>
        <w:tc>
          <w:tcPr>
            <w:tcW w:w="662" w:type="dxa"/>
            <w:tcBorders>
              <w:top w:val="single" w:color="auto" w:sz="4" w:space="0"/>
              <w:left w:val="single" w:color="auto" w:sz="4" w:space="0"/>
              <w:bottom w:val="single" w:color="auto" w:sz="4" w:space="0"/>
              <w:right w:val="single" w:color="auto" w:sz="4" w:space="0"/>
            </w:tcBorders>
          </w:tcPr>
          <w:p/>
        </w:tc>
      </w:tr>
    </w:tbl>
    <w:p>
      <w:pPr>
        <w:spacing w:after="0"/>
        <w:sectPr>
          <w:type w:val="continuous"/>
          <w:pgSz w:w="16840" w:h="11910" w:orient="landscape"/>
          <w:pgMar w:top="440" w:right="840" w:bottom="280" w:left="640" w:header="720" w:footer="720" w:gutter="0"/>
          <w:cols w:space="720" w:num="1"/>
        </w:sectPr>
      </w:pPr>
    </w:p>
    <w:tbl>
      <w:tblPr>
        <w:tblStyle w:val="3"/>
        <w:tblW w:w="0" w:type="auto"/>
        <w:tblInd w:w="98" w:type="dxa"/>
        <w:tblLayout w:type="fixed"/>
        <w:tblCellMar>
          <w:top w:w="0" w:type="dxa"/>
          <w:left w:w="0" w:type="dxa"/>
          <w:bottom w:w="0" w:type="dxa"/>
          <w:right w:w="0" w:type="dxa"/>
        </w:tblCellMar>
      </w:tblPr>
      <w:tblGrid>
        <w:gridCol w:w="1037"/>
        <w:gridCol w:w="1037"/>
        <w:gridCol w:w="1512"/>
        <w:gridCol w:w="1224"/>
        <w:gridCol w:w="1181"/>
        <w:gridCol w:w="1094"/>
        <w:gridCol w:w="1037"/>
        <w:gridCol w:w="1152"/>
        <w:gridCol w:w="5198"/>
        <w:gridCol w:w="662"/>
      </w:tblGrid>
      <w:tr>
        <w:tblPrEx>
          <w:tblCellMar>
            <w:top w:w="0" w:type="dxa"/>
            <w:left w:w="0" w:type="dxa"/>
            <w:bottom w:w="0" w:type="dxa"/>
            <w:right w:w="0" w:type="dxa"/>
          </w:tblCellMar>
        </w:tblPrEx>
        <w:trPr>
          <w:trHeight w:val="2937"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7" w:right="1"/>
              <w:jc w:val="center"/>
              <w:rPr>
                <w:rFonts w:ascii="方正仿宋_GBK" w:hAnsi="方正仿宋_GBK" w:eastAsia="方正仿宋_GBK" w:cs="方正仿宋_GBK"/>
                <w:sz w:val="20"/>
                <w:szCs w:val="20"/>
              </w:rPr>
            </w:pPr>
            <w:r>
              <w:rPr>
                <w:rFonts w:ascii="方正仿宋_GBK"/>
                <w:w w:val="90"/>
                <w:sz w:val="20"/>
              </w:rPr>
              <w:t>4</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4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会计监督检查</w:t>
            </w:r>
          </w:p>
        </w:tc>
        <w:tc>
          <w:tcPr>
            <w:tcW w:w="1224"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财政</w:t>
            </w:r>
          </w:p>
        </w:tc>
        <w:tc>
          <w:tcPr>
            <w:tcW w:w="1181"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65" w:right="454"/>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94" w:type="dxa"/>
            <w:tcBorders>
              <w:top w:val="single" w:color="000000" w:sz="8" w:space="0"/>
              <w:left w:val="single" w:color="000000" w:sz="8" w:space="0"/>
              <w:bottom w:val="single" w:color="000000" w:sz="8" w:space="0"/>
              <w:right w:val="single" w:color="000000" w:sz="8" w:space="0"/>
            </w:tcBorders>
          </w:tcPr>
          <w:p>
            <w:pPr>
              <w:pStyle w:val="7"/>
              <w:spacing w:before="8" w:line="180" w:lineRule="exact"/>
              <w:ind w:right="0"/>
              <w:jc w:val="left"/>
              <w:rPr>
                <w:sz w:val="18"/>
                <w:szCs w:val="18"/>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4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9" w:line="220" w:lineRule="exact"/>
              <w:ind w:right="0"/>
              <w:jc w:val="left"/>
              <w:rPr>
                <w:sz w:val="22"/>
                <w:szCs w:val="22"/>
              </w:rPr>
            </w:pPr>
          </w:p>
          <w:p>
            <w:pPr>
              <w:pStyle w:val="7"/>
              <w:spacing w:line="270" w:lineRule="exact"/>
              <w:ind w:left="14" w:right="1"/>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财政局</w:t>
            </w:r>
          </w:p>
          <w:p>
            <w:pPr>
              <w:pStyle w:val="7"/>
              <w:spacing w:before="14" w:line="205" w:lineRule="auto"/>
              <w:ind w:left="111" w:right="9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、审计</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2"/>
                <w:w w:val="95"/>
                <w:sz w:val="20"/>
                <w:szCs w:val="20"/>
              </w:rPr>
              <w:t>局</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税</w:t>
            </w:r>
            <w:r>
              <w:rPr>
                <w:rFonts w:ascii="方正仿宋_GBK" w:hAnsi="方正仿宋_GBK" w:eastAsia="方正仿宋_GBK" w:cs="方正仿宋_GBK"/>
                <w:w w:val="95"/>
                <w:sz w:val="20"/>
                <w:szCs w:val="20"/>
              </w:rPr>
              <w:t>务</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局</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银</w:t>
            </w:r>
            <w:r>
              <w:rPr>
                <w:rFonts w:ascii="方正仿宋_GBK" w:hAnsi="方正仿宋_GBK" w:eastAsia="方正仿宋_GBK" w:cs="方正仿宋_GBK"/>
                <w:w w:val="95"/>
                <w:sz w:val="20"/>
                <w:szCs w:val="20"/>
              </w:rPr>
              <w:t>监</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会</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证</w:t>
            </w:r>
            <w:r>
              <w:rPr>
                <w:rFonts w:ascii="方正仿宋_GBK" w:hAnsi="方正仿宋_GBK" w:eastAsia="方正仿宋_GBK" w:cs="方正仿宋_GBK"/>
                <w:w w:val="95"/>
                <w:sz w:val="20"/>
                <w:szCs w:val="20"/>
              </w:rPr>
              <w:t>监</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会可联合</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sz w:val="20"/>
                <w:szCs w:val="20"/>
              </w:rPr>
              <w:t>检查</w:t>
            </w:r>
          </w:p>
        </w:tc>
        <w:tc>
          <w:tcPr>
            <w:tcW w:w="1152"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3" w:line="260" w:lineRule="exact"/>
              <w:ind w:right="0"/>
              <w:jc w:val="left"/>
              <w:rPr>
                <w:sz w:val="26"/>
                <w:szCs w:val="26"/>
              </w:rPr>
            </w:pPr>
          </w:p>
          <w:p>
            <w:pPr>
              <w:pStyle w:val="7"/>
              <w:spacing w:line="270" w:lineRule="exact"/>
              <w:ind w:left="16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93"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5198" w:type="dxa"/>
            <w:tcBorders>
              <w:top w:val="single" w:color="000000" w:sz="8" w:space="0"/>
              <w:left w:val="single" w:color="000000" w:sz="8" w:space="0"/>
              <w:bottom w:val="single" w:color="000000" w:sz="8" w:space="0"/>
              <w:right w:val="single" w:color="000000" w:sz="8" w:space="0"/>
            </w:tcBorders>
          </w:tcPr>
          <w:p>
            <w:pPr>
              <w:pStyle w:val="7"/>
              <w:spacing w:line="21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1.《财政部门实施会计监督办法》（财政部令1</w:t>
            </w:r>
            <w:r>
              <w:rPr>
                <w:rFonts w:ascii="方正仿宋_GBK" w:hAnsi="方正仿宋_GBK" w:eastAsia="方正仿宋_GBK" w:cs="方正仿宋_GBK"/>
                <w:spacing w:val="1"/>
                <w:sz w:val="20"/>
                <w:szCs w:val="20"/>
              </w:rPr>
              <w:t>0</w:t>
            </w:r>
            <w:r>
              <w:rPr>
                <w:rFonts w:ascii="方正仿宋_GBK" w:hAnsi="方正仿宋_GBK" w:eastAsia="方正仿宋_GBK" w:cs="方正仿宋_GBK"/>
                <w:spacing w:val="2"/>
                <w:sz w:val="20"/>
                <w:szCs w:val="20"/>
              </w:rPr>
              <w:t>号）第三</w:t>
            </w:r>
          </w:p>
          <w:p>
            <w:pPr>
              <w:pStyle w:val="7"/>
              <w:spacing w:before="14"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条第一款县级以上财政部门负责本行政区域的会计监督检</w:t>
            </w:r>
            <w:r>
              <w:rPr>
                <w:rFonts w:ascii="方正仿宋_GBK" w:hAnsi="方正仿宋_GBK" w:eastAsia="方正仿宋_GBK" w:cs="方正仿宋_GBK"/>
                <w:spacing w:val="38"/>
                <w:w w:val="99"/>
                <w:sz w:val="20"/>
                <w:szCs w:val="20"/>
              </w:rPr>
              <w:t xml:space="preserve"> </w:t>
            </w:r>
            <w:r>
              <w:rPr>
                <w:rFonts w:ascii="方正仿宋_GBK" w:hAnsi="方正仿宋_GBK" w:eastAsia="方正仿宋_GBK" w:cs="方正仿宋_GBK"/>
                <w:spacing w:val="2"/>
                <w:sz w:val="20"/>
                <w:szCs w:val="20"/>
              </w:rPr>
              <w:t>查，并依法对违法会计行为实施行政处罚。</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《中华人民共和国会计法》第三十三条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2"/>
                <w:w w:val="95"/>
                <w:sz w:val="20"/>
                <w:szCs w:val="20"/>
              </w:rPr>
              <w:t xml:space="preserve"> </w:t>
            </w:r>
            <w:r>
              <w:rPr>
                <w:rFonts w:ascii="方正仿宋_GBK" w:hAnsi="方正仿宋_GBK" w:eastAsia="方正仿宋_GBK" w:cs="方正仿宋_GBK"/>
                <w:spacing w:val="1"/>
                <w:w w:val="95"/>
                <w:sz w:val="20"/>
                <w:szCs w:val="20"/>
              </w:rPr>
              <w:t>财政、审计、税</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2"/>
                <w:sz w:val="20"/>
                <w:szCs w:val="20"/>
              </w:rPr>
              <w:t>务、人民银行、证券监管、保险监管等部门应当依照有关</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法律、行政法规规定的职责，对有关单位的会计资料实施</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监督检查。前款所列监督检查部门对有关单位的会计资料</w:t>
            </w:r>
            <w:r>
              <w:rPr>
                <w:rFonts w:ascii="方正仿宋_GBK" w:hAnsi="方正仿宋_GBK" w:eastAsia="方正仿宋_GBK" w:cs="方正仿宋_GBK"/>
                <w:spacing w:val="40"/>
                <w:w w:val="99"/>
                <w:sz w:val="20"/>
                <w:szCs w:val="20"/>
              </w:rPr>
              <w:t xml:space="preserve"> </w:t>
            </w:r>
            <w:r>
              <w:rPr>
                <w:rFonts w:ascii="方正仿宋_GBK" w:hAnsi="方正仿宋_GBK" w:eastAsia="方正仿宋_GBK" w:cs="方正仿宋_GBK"/>
                <w:spacing w:val="2"/>
                <w:sz w:val="20"/>
                <w:szCs w:val="20"/>
              </w:rPr>
              <w:t>依法实施监督检查后，应当出具检查结论。有关监督检查</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部门已经作出的检查结论能够满足其他监督检查部门履行</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本部门职责需要的，其他监督检查部门应当加以利用，避</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免重复查帐。</w:t>
            </w:r>
          </w:p>
        </w:tc>
        <w:tc>
          <w:tcPr>
            <w:tcW w:w="662"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1181"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17" w:right="1"/>
              <w:jc w:val="center"/>
              <w:rPr>
                <w:rFonts w:ascii="方正仿宋_GBK" w:hAnsi="方正仿宋_GBK" w:eastAsia="方正仿宋_GBK" w:cs="方正仿宋_GBK"/>
                <w:sz w:val="20"/>
                <w:szCs w:val="20"/>
              </w:rPr>
            </w:pPr>
            <w:r>
              <w:rPr>
                <w:rFonts w:ascii="方正仿宋_GBK"/>
                <w:sz w:val="20"/>
              </w:rPr>
              <w:t>5</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000000" w:sz="8" w:space="0"/>
              <w:left w:val="single" w:color="000000" w:sz="8" w:space="0"/>
              <w:bottom w:val="single" w:color="000000" w:sz="8" w:space="0"/>
              <w:right w:val="single" w:color="000000" w:sz="8" w:space="0"/>
            </w:tcBorders>
          </w:tcPr>
          <w:p>
            <w:pPr>
              <w:pStyle w:val="7"/>
              <w:spacing w:before="56" w:line="205" w:lineRule="auto"/>
              <w:ind w:left="63" w:right="49"/>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对代理记账机构</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及其从事代理记</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账业务情况的监</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督检</w:t>
            </w:r>
            <w:r>
              <w:rPr>
                <w:rFonts w:ascii="方正仿宋_GBK" w:hAnsi="方正仿宋_GBK" w:eastAsia="方正仿宋_GBK" w:cs="方正仿宋_GBK"/>
                <w:sz w:val="20"/>
                <w:szCs w:val="20"/>
              </w:rPr>
              <w:t>查</w:t>
            </w:r>
          </w:p>
        </w:tc>
        <w:tc>
          <w:tcPr>
            <w:tcW w:w="1224"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40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财政</w:t>
            </w:r>
          </w:p>
        </w:tc>
        <w:tc>
          <w:tcPr>
            <w:tcW w:w="1181"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465" w:right="454"/>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94"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34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52" w:type="dxa"/>
            <w:tcBorders>
              <w:top w:val="single" w:color="000000" w:sz="8" w:space="0"/>
              <w:left w:val="single" w:color="000000" w:sz="8" w:space="0"/>
              <w:bottom w:val="single" w:color="000000" w:sz="8" w:space="0"/>
              <w:right w:val="single" w:color="000000" w:sz="8" w:space="0"/>
            </w:tcBorders>
          </w:tcPr>
          <w:p>
            <w:pPr>
              <w:pStyle w:val="7"/>
              <w:spacing w:before="9" w:line="260" w:lineRule="exact"/>
              <w:ind w:right="0"/>
              <w:jc w:val="left"/>
              <w:rPr>
                <w:sz w:val="26"/>
                <w:szCs w:val="26"/>
              </w:rPr>
            </w:pPr>
          </w:p>
          <w:p>
            <w:pPr>
              <w:pStyle w:val="7"/>
              <w:spacing w:line="270" w:lineRule="exact"/>
              <w:ind w:left="16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93"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5198" w:type="dxa"/>
            <w:tcBorders>
              <w:top w:val="single" w:color="000000" w:sz="8" w:space="0"/>
              <w:left w:val="single" w:color="000000" w:sz="8" w:space="0"/>
              <w:bottom w:val="single" w:color="000000" w:sz="8" w:space="0"/>
              <w:right w:val="single" w:color="000000" w:sz="8" w:space="0"/>
            </w:tcBorders>
          </w:tcPr>
          <w:p>
            <w:pPr>
              <w:pStyle w:val="7"/>
              <w:spacing w:line="198" w:lineRule="exact"/>
              <w:ind w:left="30" w:right="0"/>
              <w:jc w:val="both"/>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《代理记账管理办法》（财政部令第8</w:t>
            </w:r>
            <w:r>
              <w:rPr>
                <w:rFonts w:ascii="方正仿宋_GBK" w:hAnsi="方正仿宋_GBK" w:eastAsia="方正仿宋_GBK" w:cs="方正仿宋_GBK"/>
                <w:spacing w:val="1"/>
                <w:sz w:val="20"/>
                <w:szCs w:val="20"/>
              </w:rPr>
              <w:t>0</w:t>
            </w:r>
            <w:r>
              <w:rPr>
                <w:rFonts w:ascii="方正仿宋_GBK" w:hAnsi="方正仿宋_GBK" w:eastAsia="方正仿宋_GBK" w:cs="方正仿宋_GBK"/>
                <w:spacing w:val="2"/>
                <w:sz w:val="20"/>
                <w:szCs w:val="20"/>
              </w:rPr>
              <w:t>号）第十七条第一</w:t>
            </w:r>
            <w:r>
              <w:rPr>
                <w:rFonts w:ascii="方正仿宋_GBK" w:hAnsi="方正仿宋_GBK" w:eastAsia="方正仿宋_GBK" w:cs="方正仿宋_GBK"/>
                <w:sz w:val="20"/>
                <w:szCs w:val="20"/>
              </w:rPr>
              <w:t>款</w:t>
            </w:r>
            <w:r>
              <w:rPr>
                <w:rFonts w:ascii="方正仿宋_GBK" w:hAnsi="方正仿宋_GBK" w:eastAsia="方正仿宋_GBK" w:cs="方正仿宋_GBK"/>
                <w:spacing w:val="2"/>
                <w:sz w:val="20"/>
                <w:szCs w:val="20"/>
              </w:rPr>
              <w:t>县级以上人民政府财政部门对代理记账机构及其从事代理记账业务情况实施监督，随机抽取检查对象、随机选派执法检查人员，并将抽查情况及查处结果依法及时向社会</w:t>
            </w:r>
            <w:r>
              <w:rPr>
                <w:rFonts w:ascii="方正仿宋_GBK" w:hAnsi="方正仿宋_GBK" w:eastAsia="方正仿宋_GBK" w:cs="方正仿宋_GBK"/>
                <w:spacing w:val="1"/>
                <w:sz w:val="20"/>
                <w:szCs w:val="20"/>
              </w:rPr>
              <w:t>公开。</w:t>
            </w:r>
          </w:p>
        </w:tc>
        <w:tc>
          <w:tcPr>
            <w:tcW w:w="662" w:type="dxa"/>
            <w:tcBorders>
              <w:top w:val="single" w:color="000000" w:sz="8" w:space="0"/>
              <w:left w:val="single" w:color="000000" w:sz="8" w:space="0"/>
              <w:bottom w:val="single" w:color="000000" w:sz="8" w:space="0"/>
              <w:right w:val="single" w:color="000000" w:sz="8" w:space="0"/>
            </w:tcBorders>
          </w:tcPr>
          <w:p/>
        </w:tc>
      </w:tr>
    </w:tbl>
    <w:p/>
    <w:sectPr>
      <w:pgSz w:w="16840" w:h="11910" w:orient="landscape"/>
      <w:pgMar w:top="400" w:right="840" w:bottom="280" w:left="6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09D6739A"/>
    <w:rsid w:val="29125A22"/>
    <w:rsid w:val="39394ABC"/>
    <w:rsid w:val="46A768E1"/>
    <w:rsid w:val="BFFF7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722"/>
    </w:pPr>
    <w:rPr>
      <w:rFonts w:ascii="方正小标宋_GBK" w:hAnsi="方正小标宋_GBK" w:eastAsia="方正小标宋_GBK"/>
      <w:sz w:val="40"/>
      <w:szCs w:val="4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1302</Words>
  <Characters>1316</Characters>
  <TotalTime>2</TotalTime>
  <ScaleCrop>false</ScaleCrop>
  <LinksUpToDate>false</LinksUpToDate>
  <CharactersWithSpaces>1363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2022-12-24T18:10:00Z</dcterms:created>
  <dc:creator>22673</dc:creator>
  <cp:lastModifiedBy>greatwall</cp:lastModifiedBy>
  <dcterms:modified xsi:type="dcterms:W3CDTF">2022-12-26T09:12:52Z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7985D15EA0EC4029976D499875390D7B</vt:lpwstr>
  </property>
</Properties>
</file>