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0"/>
        <w:jc w:val="center"/>
        <w:textAlignment w:val="auto"/>
        <w:rPr>
          <w:rFonts w:hint="eastAsia" w:ascii="方正小标宋简体" w:hAnsi="方正小标宋简体" w:eastAsia="方正小标宋简体" w:cs="方正小标宋简体"/>
          <w:b w:val="0"/>
          <w:i w:val="0"/>
          <w:caps w:val="0"/>
          <w:color w:val="000000"/>
          <w:spacing w:val="0"/>
          <w:sz w:val="44"/>
          <w:szCs w:val="44"/>
          <w:shd w:val="clear" w:fill="FFFFFF"/>
        </w:rPr>
      </w:pPr>
      <w:r>
        <w:rPr>
          <w:rFonts w:hint="eastAsia" w:ascii="方正小标宋简体" w:hAnsi="方正小标宋简体" w:eastAsia="方正小标宋简体" w:cs="方正小标宋简体"/>
          <w:b w:val="0"/>
          <w:i w:val="0"/>
          <w:caps w:val="0"/>
          <w:color w:val="000000"/>
          <w:spacing w:val="0"/>
          <w:sz w:val="44"/>
          <w:szCs w:val="44"/>
          <w:shd w:val="clear" w:fill="FFFFFF"/>
          <w:lang w:val="en-US" w:eastAsia="zh-CN"/>
        </w:rPr>
        <w:t>株洲</w:t>
      </w:r>
      <w:r>
        <w:rPr>
          <w:rFonts w:hint="eastAsia" w:ascii="方正小标宋简体" w:hAnsi="方正小标宋简体" w:eastAsia="方正小标宋简体" w:cs="方正小标宋简体"/>
          <w:b w:val="0"/>
          <w:i w:val="0"/>
          <w:caps w:val="0"/>
          <w:color w:val="000000"/>
          <w:spacing w:val="0"/>
          <w:sz w:val="44"/>
          <w:szCs w:val="44"/>
          <w:shd w:val="clear" w:fill="FFFFFF"/>
        </w:rPr>
        <w:t>市城市管理</w:t>
      </w:r>
      <w:r>
        <w:rPr>
          <w:rFonts w:hint="eastAsia" w:ascii="方正小标宋简体" w:hAnsi="方正小标宋简体" w:eastAsia="方正小标宋简体" w:cs="方正小标宋简体"/>
          <w:b w:val="0"/>
          <w:i w:val="0"/>
          <w:caps w:val="0"/>
          <w:color w:val="000000"/>
          <w:spacing w:val="0"/>
          <w:sz w:val="44"/>
          <w:szCs w:val="44"/>
          <w:shd w:val="clear" w:fill="FFFFFF"/>
          <w:lang w:val="en-US" w:eastAsia="zh-CN"/>
        </w:rPr>
        <w:t>和综合</w:t>
      </w:r>
      <w:r>
        <w:rPr>
          <w:rFonts w:hint="eastAsia" w:ascii="方正小标宋简体" w:hAnsi="方正小标宋简体" w:eastAsia="方正小标宋简体" w:cs="方正小标宋简体"/>
          <w:b w:val="0"/>
          <w:i w:val="0"/>
          <w:caps w:val="0"/>
          <w:color w:val="000000"/>
          <w:spacing w:val="0"/>
          <w:sz w:val="44"/>
          <w:szCs w:val="44"/>
          <w:shd w:val="clear" w:fill="FFFFFF"/>
        </w:rPr>
        <w:t>执法局</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0"/>
        <w:jc w:val="center"/>
        <w:textAlignment w:val="auto"/>
        <w:rPr>
          <w:rFonts w:hint="eastAsia" w:ascii="方正小标宋简体" w:hAnsi="方正小标宋简体" w:eastAsia="方正小标宋简体" w:cs="方正小标宋简体"/>
          <w:i w:val="0"/>
          <w:caps w:val="0"/>
          <w:color w:val="000000"/>
          <w:spacing w:val="0"/>
          <w:sz w:val="44"/>
          <w:szCs w:val="44"/>
        </w:rPr>
      </w:pPr>
      <w:r>
        <w:rPr>
          <w:rFonts w:hint="eastAsia" w:ascii="宋体" w:hAnsi="宋体" w:eastAsia="宋体" w:cs="宋体"/>
          <w:b w:val="0"/>
          <w:i w:val="0"/>
          <w:caps w:val="0"/>
          <w:color w:val="000000"/>
          <w:spacing w:val="0"/>
          <w:sz w:val="44"/>
          <w:szCs w:val="44"/>
          <w:shd w:val="clear" w:fill="FFFFFF"/>
          <w:lang w:val="en-US" w:eastAsia="zh-CN"/>
        </w:rPr>
        <w:t>202</w:t>
      </w:r>
      <w:r>
        <w:rPr>
          <w:rFonts w:hint="eastAsia" w:cs="宋体"/>
          <w:b w:val="0"/>
          <w:i w:val="0"/>
          <w:caps w:val="0"/>
          <w:color w:val="000000"/>
          <w:spacing w:val="0"/>
          <w:sz w:val="44"/>
          <w:szCs w:val="44"/>
          <w:shd w:val="clear" w:fill="FFFFFF"/>
          <w:lang w:val="en-US" w:eastAsia="zh-CN"/>
        </w:rPr>
        <w:t>2</w:t>
      </w:r>
      <w:r>
        <w:rPr>
          <w:rFonts w:hint="eastAsia" w:ascii="方正小标宋简体" w:hAnsi="方正小标宋简体" w:eastAsia="方正小标宋简体" w:cs="方正小标宋简体"/>
          <w:b w:val="0"/>
          <w:i w:val="0"/>
          <w:caps w:val="0"/>
          <w:color w:val="000000"/>
          <w:spacing w:val="0"/>
          <w:sz w:val="44"/>
          <w:szCs w:val="44"/>
          <w:shd w:val="clear" w:fill="FFFFFF"/>
          <w:lang w:val="en-US" w:eastAsia="zh-CN"/>
        </w:rPr>
        <w:t>年</w:t>
      </w:r>
      <w:r>
        <w:rPr>
          <w:rFonts w:hint="eastAsia" w:ascii="方正小标宋简体" w:hAnsi="方正小标宋简体" w:eastAsia="方正小标宋简体" w:cs="方正小标宋简体"/>
          <w:b w:val="0"/>
          <w:i w:val="0"/>
          <w:caps w:val="0"/>
          <w:color w:val="000000"/>
          <w:spacing w:val="0"/>
          <w:sz w:val="44"/>
          <w:szCs w:val="44"/>
          <w:shd w:val="clear" w:fill="FFFFFF"/>
        </w:rPr>
        <w:t>重大行政决策事项目录</w:t>
      </w:r>
    </w:p>
    <w:tbl>
      <w:tblPr>
        <w:tblStyle w:val="3"/>
        <w:tblW w:w="8895"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autofit"/>
        <w:tblCellMar>
          <w:top w:w="0" w:type="dxa"/>
          <w:left w:w="0" w:type="dxa"/>
          <w:bottom w:w="0" w:type="dxa"/>
          <w:right w:w="0" w:type="dxa"/>
        </w:tblCellMar>
      </w:tblPr>
      <w:tblGrid>
        <w:gridCol w:w="642"/>
        <w:gridCol w:w="1060"/>
        <w:gridCol w:w="4706"/>
        <w:gridCol w:w="1409"/>
        <w:gridCol w:w="10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55" w:hRule="atLeast"/>
        </w:trPr>
        <w:tc>
          <w:tcPr>
            <w:tcW w:w="642" w:type="dxa"/>
            <w:vMerge w:val="restar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060" w:type="dxa"/>
            <w:vMerge w:val="restar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重大</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决策</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内容</w:t>
            </w:r>
          </w:p>
        </w:tc>
        <w:tc>
          <w:tcPr>
            <w:tcW w:w="4706"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具体事项名称</w:t>
            </w:r>
          </w:p>
        </w:tc>
        <w:tc>
          <w:tcPr>
            <w:tcW w:w="1409"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量化标准</w:t>
            </w:r>
          </w:p>
        </w:tc>
        <w:tc>
          <w:tcPr>
            <w:tcW w:w="1078" w:type="dxa"/>
            <w:vMerge w:val="restar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70" w:hRule="atLeast"/>
        </w:trPr>
        <w:tc>
          <w:tcPr>
            <w:tcW w:w="642" w:type="dxa"/>
            <w:vMerge w:val="restar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060" w:type="dxa"/>
            <w:vMerge w:val="restar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重大</w:t>
            </w:r>
          </w:p>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事项</w:t>
            </w:r>
          </w:p>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决策</w:t>
            </w:r>
          </w:p>
        </w:tc>
        <w:tc>
          <w:tcPr>
            <w:tcW w:w="4706"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1．贯彻执行党的路线方针政策、党和国家重要法律法规以及上级党组织的重大决策、重大工作部署的意见及措施。</w:t>
            </w:r>
          </w:p>
        </w:tc>
        <w:tc>
          <w:tcPr>
            <w:tcW w:w="1409" w:type="dxa"/>
            <w:tcBorders>
              <w:tl2br w:val="nil"/>
              <w:tr2bl w:val="nil"/>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1078" w:type="dxa"/>
            <w:vMerge w:val="restar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具体原则、程序按照《株洲市城管执法局党组“三重一大”事项集体决策制度实施办法》和《重大行政决策听证事项听证制度》执行。</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5" w:hRule="atLeast"/>
        </w:trPr>
        <w:tc>
          <w:tcPr>
            <w:tcW w:w="642" w:type="dxa"/>
            <w:vMerge w:val="continue"/>
            <w:tcBorders>
              <w:tl2br w:val="nil"/>
              <w:tr2bl w:val="nil"/>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21"/>
                <w:szCs w:val="21"/>
                <w:u w:val="none"/>
              </w:rPr>
            </w:pPr>
          </w:p>
        </w:tc>
        <w:tc>
          <w:tcPr>
            <w:tcW w:w="1060" w:type="dxa"/>
            <w:vMerge w:val="continue"/>
            <w:tcBorders>
              <w:tl2br w:val="nil"/>
              <w:tr2bl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4706"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2．涉及全局性的机制、体制、制度改革方面的重大事项。</w:t>
            </w:r>
          </w:p>
        </w:tc>
        <w:tc>
          <w:tcPr>
            <w:tcW w:w="1409" w:type="dxa"/>
            <w:tcBorders>
              <w:tl2br w:val="nil"/>
              <w:tr2bl w:val="nil"/>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1078" w:type="dxa"/>
            <w:vMerge w:val="continue"/>
            <w:tcBorders>
              <w:tl2br w:val="nil"/>
              <w:tr2bl w:val="nil"/>
            </w:tcBorders>
            <w:shd w:val="clear" w:color="auto" w:fill="FFFFFF"/>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5" w:hRule="atLeast"/>
        </w:trPr>
        <w:tc>
          <w:tcPr>
            <w:tcW w:w="642" w:type="dxa"/>
            <w:vMerge w:val="continue"/>
            <w:tcBorders>
              <w:tl2br w:val="nil"/>
              <w:tr2bl w:val="nil"/>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21"/>
                <w:szCs w:val="21"/>
                <w:u w:val="none"/>
              </w:rPr>
            </w:pPr>
          </w:p>
        </w:tc>
        <w:tc>
          <w:tcPr>
            <w:tcW w:w="1060" w:type="dxa"/>
            <w:vMerge w:val="continue"/>
            <w:tcBorders>
              <w:tl2br w:val="nil"/>
              <w:tr2bl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4706"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3．经济社会发展方面的重大事项以及涉及干部群众切身利益的重大问题。</w:t>
            </w:r>
          </w:p>
        </w:tc>
        <w:tc>
          <w:tcPr>
            <w:tcW w:w="1409" w:type="dxa"/>
            <w:tcBorders>
              <w:tl2br w:val="nil"/>
              <w:tr2bl w:val="nil"/>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1078" w:type="dxa"/>
            <w:vMerge w:val="continue"/>
            <w:tcBorders>
              <w:tl2br w:val="nil"/>
              <w:tr2bl w:val="nil"/>
            </w:tcBorders>
            <w:shd w:val="clear" w:color="auto" w:fill="FFFFFF"/>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0" w:hRule="atLeast"/>
        </w:trPr>
        <w:tc>
          <w:tcPr>
            <w:tcW w:w="642" w:type="dxa"/>
            <w:vMerge w:val="continue"/>
            <w:tcBorders>
              <w:tl2br w:val="nil"/>
              <w:tr2bl w:val="nil"/>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21"/>
                <w:szCs w:val="21"/>
                <w:u w:val="none"/>
              </w:rPr>
            </w:pPr>
          </w:p>
        </w:tc>
        <w:tc>
          <w:tcPr>
            <w:tcW w:w="1060" w:type="dxa"/>
            <w:vMerge w:val="continue"/>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p>
        </w:tc>
        <w:tc>
          <w:tcPr>
            <w:tcW w:w="4706"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4．组织干部职工集体外出考察、学习。</w:t>
            </w:r>
          </w:p>
        </w:tc>
        <w:tc>
          <w:tcPr>
            <w:tcW w:w="1409" w:type="dxa"/>
            <w:tcBorders>
              <w:tl2br w:val="nil"/>
              <w:tr2bl w:val="nil"/>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1078" w:type="dxa"/>
            <w:vMerge w:val="continue"/>
            <w:tcBorders>
              <w:tl2br w:val="nil"/>
              <w:tr2bl w:val="nil"/>
            </w:tcBorders>
            <w:shd w:val="clear" w:color="auto" w:fill="FFFFFF"/>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40" w:hRule="atLeast"/>
        </w:trPr>
        <w:tc>
          <w:tcPr>
            <w:tcW w:w="642" w:type="dxa"/>
            <w:vMerge w:val="continue"/>
            <w:tcBorders>
              <w:tl2br w:val="nil"/>
              <w:tr2bl w:val="nil"/>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21"/>
                <w:szCs w:val="21"/>
                <w:u w:val="none"/>
              </w:rPr>
            </w:pPr>
          </w:p>
        </w:tc>
        <w:tc>
          <w:tcPr>
            <w:tcW w:w="1060" w:type="dxa"/>
            <w:vMerge w:val="continue"/>
            <w:tcBorders>
              <w:tl2br w:val="nil"/>
              <w:tr2bl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4706"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5．事关全局和社会稳定的重大事件、事故处理等方面的重大事项。涉及全局性稳定、公共安全的重大信访矛盾化解、重大事故处理和重大群体性事件、重大突发事件应急处置等方面的重大事项。</w:t>
            </w:r>
          </w:p>
        </w:tc>
        <w:tc>
          <w:tcPr>
            <w:tcW w:w="1409" w:type="dxa"/>
            <w:tcBorders>
              <w:tl2br w:val="nil"/>
              <w:tr2bl w:val="nil"/>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1078" w:type="dxa"/>
            <w:vMerge w:val="continue"/>
            <w:tcBorders>
              <w:tl2br w:val="nil"/>
              <w:tr2bl w:val="nil"/>
            </w:tcBorders>
            <w:shd w:val="clear" w:color="auto" w:fill="FFFFFF"/>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0" w:hRule="atLeast"/>
        </w:trPr>
        <w:tc>
          <w:tcPr>
            <w:tcW w:w="642" w:type="dxa"/>
            <w:vMerge w:val="continue"/>
            <w:tcBorders>
              <w:tl2br w:val="nil"/>
              <w:tr2bl w:val="nil"/>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21"/>
                <w:szCs w:val="21"/>
                <w:u w:val="none"/>
              </w:rPr>
            </w:pPr>
          </w:p>
        </w:tc>
        <w:tc>
          <w:tcPr>
            <w:tcW w:w="1060" w:type="dxa"/>
            <w:vMerge w:val="continue"/>
            <w:tcBorders>
              <w:tl2br w:val="nil"/>
              <w:tr2bl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4706"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6．党风廉政建设中的重大问题；</w:t>
            </w:r>
          </w:p>
        </w:tc>
        <w:tc>
          <w:tcPr>
            <w:tcW w:w="1409" w:type="dxa"/>
            <w:tcBorders>
              <w:tl2br w:val="nil"/>
              <w:tr2bl w:val="nil"/>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1078" w:type="dxa"/>
            <w:vMerge w:val="continue"/>
            <w:tcBorders>
              <w:tl2br w:val="nil"/>
              <w:tr2bl w:val="nil"/>
            </w:tcBorders>
            <w:shd w:val="clear" w:color="auto" w:fill="FFFFFF"/>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63" w:hRule="atLeast"/>
        </w:trPr>
        <w:tc>
          <w:tcPr>
            <w:tcW w:w="642" w:type="dxa"/>
            <w:vMerge w:val="continue"/>
            <w:tcBorders>
              <w:tl2br w:val="nil"/>
              <w:tr2bl w:val="nil"/>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21"/>
                <w:szCs w:val="21"/>
                <w:u w:val="none"/>
              </w:rPr>
            </w:pPr>
          </w:p>
        </w:tc>
        <w:tc>
          <w:tcPr>
            <w:tcW w:w="1060" w:type="dxa"/>
            <w:vMerge w:val="continue"/>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p>
        </w:tc>
        <w:tc>
          <w:tcPr>
            <w:tcW w:w="4706"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7．行政许可、行政处罚、行政强制等方面的重大事项。</w:t>
            </w:r>
          </w:p>
        </w:tc>
        <w:tc>
          <w:tcPr>
            <w:tcW w:w="1409"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对单位处以2万元上、个人1000元以上罚款。</w:t>
            </w:r>
          </w:p>
        </w:tc>
        <w:tc>
          <w:tcPr>
            <w:tcW w:w="1078" w:type="dxa"/>
            <w:vMerge w:val="continue"/>
            <w:tcBorders>
              <w:tl2br w:val="nil"/>
              <w:tr2bl w:val="nil"/>
            </w:tcBorders>
            <w:shd w:val="clear" w:color="auto" w:fill="FFFFFF"/>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5" w:hRule="atLeast"/>
        </w:trPr>
        <w:tc>
          <w:tcPr>
            <w:tcW w:w="642" w:type="dxa"/>
            <w:vMerge w:val="continue"/>
            <w:tcBorders>
              <w:tl2br w:val="nil"/>
              <w:tr2bl w:val="nil"/>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21"/>
                <w:szCs w:val="21"/>
                <w:u w:val="none"/>
              </w:rPr>
            </w:pPr>
          </w:p>
        </w:tc>
        <w:tc>
          <w:tcPr>
            <w:tcW w:w="1060" w:type="dxa"/>
            <w:vMerge w:val="continue"/>
            <w:tcBorders>
              <w:tl2br w:val="nil"/>
              <w:tr2bl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706"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8．其他各项工作中需要集体决策的重大事项。</w:t>
            </w:r>
          </w:p>
        </w:tc>
        <w:tc>
          <w:tcPr>
            <w:tcW w:w="1409" w:type="dxa"/>
            <w:tcBorders>
              <w:tl2br w:val="nil"/>
              <w:tr2bl w:val="nil"/>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1078" w:type="dxa"/>
            <w:vMerge w:val="continue"/>
            <w:tcBorders>
              <w:tl2br w:val="nil"/>
              <w:tr2bl w:val="nil"/>
            </w:tcBorders>
            <w:shd w:val="clear" w:color="auto" w:fill="FFFFFF"/>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95" w:hRule="atLeast"/>
        </w:trPr>
        <w:tc>
          <w:tcPr>
            <w:tcW w:w="642" w:type="dxa"/>
            <w:vMerge w:val="restar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w:t>
            </w:r>
          </w:p>
        </w:tc>
        <w:tc>
          <w:tcPr>
            <w:tcW w:w="106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重要</w:t>
            </w:r>
          </w:p>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人事</w:t>
            </w:r>
          </w:p>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任免</w:t>
            </w:r>
          </w:p>
        </w:tc>
        <w:tc>
          <w:tcPr>
            <w:tcW w:w="4706"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9．局管干部的推荐、提名、录用、任免、奖惩和后备干部人选、人才引进使用政策的确定等。</w:t>
            </w:r>
          </w:p>
        </w:tc>
        <w:tc>
          <w:tcPr>
            <w:tcW w:w="1409" w:type="dxa"/>
            <w:tcBorders>
              <w:tl2br w:val="nil"/>
              <w:tr2bl w:val="nil"/>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1078" w:type="dxa"/>
            <w:vMerge w:val="continue"/>
            <w:tcBorders>
              <w:tl2br w:val="nil"/>
              <w:tr2bl w:val="nil"/>
            </w:tcBorders>
            <w:shd w:val="clear" w:color="auto" w:fill="FFFFFF"/>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5" w:hRule="atLeast"/>
        </w:trPr>
        <w:tc>
          <w:tcPr>
            <w:tcW w:w="642" w:type="dxa"/>
            <w:vMerge w:val="continue"/>
            <w:tcBorders>
              <w:tl2br w:val="nil"/>
              <w:tr2bl w:val="nil"/>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06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其他</w:t>
            </w:r>
          </w:p>
        </w:tc>
        <w:tc>
          <w:tcPr>
            <w:tcW w:w="4706"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10．市管干部及后备干部的推荐、提名。</w:t>
            </w:r>
          </w:p>
        </w:tc>
        <w:tc>
          <w:tcPr>
            <w:tcW w:w="1409" w:type="dxa"/>
            <w:tcBorders>
              <w:tl2br w:val="nil"/>
              <w:tr2bl w:val="nil"/>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1078" w:type="dxa"/>
            <w:vMerge w:val="continue"/>
            <w:tcBorders>
              <w:tl2br w:val="nil"/>
              <w:tr2bl w:val="nil"/>
            </w:tcBorders>
            <w:shd w:val="clear" w:color="auto" w:fill="FFFFFF"/>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9" w:hRule="atLeast"/>
        </w:trPr>
        <w:tc>
          <w:tcPr>
            <w:tcW w:w="642" w:type="dxa"/>
            <w:vMerge w:val="continue"/>
            <w:tcBorders>
              <w:tl2br w:val="nil"/>
              <w:tr2bl w:val="nil"/>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060" w:type="dxa"/>
            <w:vMerge w:val="restar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重要</w:t>
            </w:r>
          </w:p>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人事</w:t>
            </w:r>
          </w:p>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工作</w:t>
            </w:r>
          </w:p>
        </w:tc>
        <w:tc>
          <w:tcPr>
            <w:tcW w:w="4706"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11．各级党代表、人大代表、政协委员的推荐和提名。</w:t>
            </w:r>
          </w:p>
        </w:tc>
        <w:tc>
          <w:tcPr>
            <w:tcW w:w="1409" w:type="dxa"/>
            <w:tcBorders>
              <w:tl2br w:val="nil"/>
              <w:tr2bl w:val="nil"/>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1078" w:type="dxa"/>
            <w:vMerge w:val="continue"/>
            <w:tcBorders>
              <w:tl2br w:val="nil"/>
              <w:tr2bl w:val="nil"/>
            </w:tcBorders>
            <w:shd w:val="clear" w:color="auto" w:fill="FFFFFF"/>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74" w:hRule="atLeast"/>
        </w:trPr>
        <w:tc>
          <w:tcPr>
            <w:tcW w:w="642" w:type="dxa"/>
            <w:vMerge w:val="continue"/>
            <w:tcBorders>
              <w:tl2br w:val="nil"/>
              <w:tr2bl w:val="nil"/>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21"/>
                <w:szCs w:val="21"/>
                <w:u w:val="none"/>
              </w:rPr>
            </w:pPr>
          </w:p>
        </w:tc>
        <w:tc>
          <w:tcPr>
            <w:tcW w:w="1060" w:type="dxa"/>
            <w:vMerge w:val="continue"/>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p>
        </w:tc>
        <w:tc>
          <w:tcPr>
            <w:tcW w:w="4706"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12．上级劳动模范及享受上级劳动模范待遇的先进典型推荐。</w:t>
            </w:r>
          </w:p>
        </w:tc>
        <w:tc>
          <w:tcPr>
            <w:tcW w:w="1409" w:type="dxa"/>
            <w:tcBorders>
              <w:tl2br w:val="nil"/>
              <w:tr2bl w:val="nil"/>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1078" w:type="dxa"/>
            <w:vMerge w:val="continue"/>
            <w:tcBorders>
              <w:tl2br w:val="nil"/>
              <w:tr2bl w:val="nil"/>
            </w:tcBorders>
            <w:shd w:val="clear" w:color="auto" w:fill="FFFFFF"/>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4" w:hRule="atLeast"/>
        </w:trPr>
        <w:tc>
          <w:tcPr>
            <w:tcW w:w="642" w:type="dxa"/>
            <w:vMerge w:val="continue"/>
            <w:tcBorders>
              <w:tl2br w:val="nil"/>
              <w:tr2bl w:val="nil"/>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21"/>
                <w:szCs w:val="21"/>
                <w:u w:val="none"/>
              </w:rPr>
            </w:pPr>
          </w:p>
        </w:tc>
        <w:tc>
          <w:tcPr>
            <w:tcW w:w="1060" w:type="dxa"/>
            <w:vMerge w:val="continue"/>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p>
        </w:tc>
        <w:tc>
          <w:tcPr>
            <w:tcW w:w="4706"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13．其他需要集体决策的重要人事任免和重要人事工作。</w:t>
            </w:r>
          </w:p>
        </w:tc>
        <w:tc>
          <w:tcPr>
            <w:tcW w:w="1409" w:type="dxa"/>
            <w:tcBorders>
              <w:tl2br w:val="nil"/>
              <w:tr2bl w:val="nil"/>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1078" w:type="dxa"/>
            <w:vMerge w:val="continue"/>
            <w:tcBorders>
              <w:tl2br w:val="nil"/>
              <w:tr2bl w:val="nil"/>
            </w:tcBorders>
            <w:shd w:val="clear" w:color="auto" w:fill="FFFFFF"/>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96" w:hRule="atLeast"/>
        </w:trPr>
        <w:tc>
          <w:tcPr>
            <w:tcW w:w="642" w:type="dxa"/>
            <w:vMerge w:val="restar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3</w:t>
            </w:r>
          </w:p>
        </w:tc>
        <w:tc>
          <w:tcPr>
            <w:tcW w:w="1060" w:type="dxa"/>
            <w:vMerge w:val="restar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重大</w:t>
            </w:r>
          </w:p>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w:t>
            </w:r>
          </w:p>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安排</w:t>
            </w:r>
          </w:p>
        </w:tc>
        <w:tc>
          <w:tcPr>
            <w:tcW w:w="4706"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14．重大建设项目、重大投资项目、重大活动项目安排、重点工程项目的确定和招投标等。</w:t>
            </w:r>
          </w:p>
        </w:tc>
        <w:tc>
          <w:tcPr>
            <w:tcW w:w="1409"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按照国家、省、市有关规定执行。</w:t>
            </w:r>
          </w:p>
        </w:tc>
        <w:tc>
          <w:tcPr>
            <w:tcW w:w="1078" w:type="dxa"/>
            <w:vMerge w:val="continue"/>
            <w:tcBorders>
              <w:tl2br w:val="nil"/>
              <w:tr2bl w:val="nil"/>
            </w:tcBorders>
            <w:shd w:val="clear" w:color="auto" w:fill="FFFFFF"/>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71" w:hRule="atLeast"/>
        </w:trPr>
        <w:tc>
          <w:tcPr>
            <w:tcW w:w="642" w:type="dxa"/>
            <w:vMerge w:val="continue"/>
            <w:tcBorders>
              <w:tl2br w:val="nil"/>
              <w:tr2bl w:val="nil"/>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060" w:type="dxa"/>
            <w:vMerge w:val="continue"/>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4706"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15．大宗办公设施、设备的购置或新建、资产处置等按相关规定须提交党组会研究确定的事项。</w:t>
            </w:r>
          </w:p>
        </w:tc>
        <w:tc>
          <w:tcPr>
            <w:tcW w:w="1409" w:type="dxa"/>
            <w:tcBorders>
              <w:tl2br w:val="nil"/>
              <w:tr2bl w:val="nil"/>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1078" w:type="dxa"/>
            <w:vMerge w:val="continue"/>
            <w:tcBorders>
              <w:tl2br w:val="nil"/>
              <w:tr2bl w:val="nil"/>
            </w:tcBorders>
            <w:shd w:val="clear" w:color="auto" w:fill="FFFFFF"/>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00" w:hRule="atLeast"/>
        </w:trPr>
        <w:tc>
          <w:tcPr>
            <w:tcW w:w="642" w:type="dxa"/>
            <w:vMerge w:val="continue"/>
            <w:tcBorders>
              <w:tl2br w:val="nil"/>
              <w:tr2bl w:val="nil"/>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060" w:type="dxa"/>
            <w:vMerge w:val="continue"/>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4706"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16．其他需要集体决策的重大项目安排。</w:t>
            </w:r>
          </w:p>
        </w:tc>
        <w:tc>
          <w:tcPr>
            <w:tcW w:w="1409" w:type="dxa"/>
            <w:tcBorders>
              <w:tl2br w:val="nil"/>
              <w:tr2bl w:val="nil"/>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1078" w:type="dxa"/>
            <w:vMerge w:val="continue"/>
            <w:tcBorders>
              <w:tl2br w:val="nil"/>
              <w:tr2bl w:val="nil"/>
            </w:tcBorders>
            <w:shd w:val="clear" w:color="auto" w:fill="FFFFFF"/>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31" w:hRule="atLeast"/>
        </w:trPr>
        <w:tc>
          <w:tcPr>
            <w:tcW w:w="642" w:type="dxa"/>
            <w:vMerge w:val="restar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4</w:t>
            </w:r>
          </w:p>
        </w:tc>
        <w:tc>
          <w:tcPr>
            <w:tcW w:w="1060" w:type="dxa"/>
            <w:vMerge w:val="restar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大额</w:t>
            </w:r>
          </w:p>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资金</w:t>
            </w:r>
          </w:p>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使用</w:t>
            </w:r>
          </w:p>
        </w:tc>
        <w:tc>
          <w:tcPr>
            <w:tcW w:w="4706"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17．货物和服务项目采购金额达到需通过政府集中采购的，采购货物或服务数额达到需公开招标的。</w:t>
            </w:r>
          </w:p>
        </w:tc>
        <w:tc>
          <w:tcPr>
            <w:tcW w:w="1409"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按照市有关文件执行。</w:t>
            </w:r>
          </w:p>
        </w:tc>
        <w:tc>
          <w:tcPr>
            <w:tcW w:w="1078" w:type="dxa"/>
            <w:vMerge w:val="continue"/>
            <w:tcBorders>
              <w:tl2br w:val="nil"/>
              <w:tr2bl w:val="nil"/>
            </w:tcBorders>
            <w:shd w:val="clear" w:color="auto" w:fill="FFFFFF"/>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67" w:hRule="atLeast"/>
        </w:trPr>
        <w:tc>
          <w:tcPr>
            <w:tcW w:w="642" w:type="dxa"/>
            <w:vMerge w:val="continue"/>
            <w:tcBorders>
              <w:tl2br w:val="nil"/>
              <w:tr2bl w:val="nil"/>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21"/>
                <w:szCs w:val="21"/>
                <w:u w:val="none"/>
              </w:rPr>
            </w:pPr>
          </w:p>
        </w:tc>
        <w:tc>
          <w:tcPr>
            <w:tcW w:w="1060" w:type="dxa"/>
            <w:vMerge w:val="continue"/>
            <w:tcBorders>
              <w:tl2br w:val="nil"/>
              <w:tr2bl w:val="nil"/>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21"/>
                <w:szCs w:val="21"/>
                <w:u w:val="none"/>
              </w:rPr>
            </w:pPr>
          </w:p>
        </w:tc>
        <w:tc>
          <w:tcPr>
            <w:tcW w:w="4706"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18．职责范围内财务预算的编制原则以及年度财务预算的编制、调整和大额度资金的使用原则。</w:t>
            </w:r>
          </w:p>
        </w:tc>
        <w:tc>
          <w:tcPr>
            <w:tcW w:w="1409"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单项支出数额1万元以上的公共性资金安排、大额规费的减免等。</w:t>
            </w:r>
          </w:p>
        </w:tc>
        <w:tc>
          <w:tcPr>
            <w:tcW w:w="1078" w:type="dxa"/>
            <w:vMerge w:val="continue"/>
            <w:tcBorders>
              <w:tl2br w:val="nil"/>
              <w:tr2bl w:val="nil"/>
            </w:tcBorders>
            <w:shd w:val="clear" w:color="auto" w:fill="FFFFFF"/>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5" w:hRule="atLeast"/>
        </w:trPr>
        <w:tc>
          <w:tcPr>
            <w:tcW w:w="642" w:type="dxa"/>
            <w:vMerge w:val="continue"/>
            <w:tcBorders>
              <w:tl2br w:val="nil"/>
              <w:tr2bl w:val="nil"/>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21"/>
                <w:szCs w:val="21"/>
                <w:u w:val="none"/>
              </w:rPr>
            </w:pPr>
          </w:p>
        </w:tc>
        <w:tc>
          <w:tcPr>
            <w:tcW w:w="1060" w:type="dxa"/>
            <w:vMerge w:val="continue"/>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p>
        </w:tc>
        <w:tc>
          <w:tcPr>
            <w:tcW w:w="4706"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19．其他需要集体决策的大额度资金使用。</w:t>
            </w:r>
          </w:p>
        </w:tc>
        <w:tc>
          <w:tcPr>
            <w:tcW w:w="1409" w:type="dxa"/>
            <w:tcBorders>
              <w:tl2br w:val="nil"/>
              <w:tr2bl w:val="nil"/>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1078" w:type="dxa"/>
            <w:vMerge w:val="continue"/>
            <w:tcBorders>
              <w:tl2br w:val="nil"/>
              <w:tr2bl w:val="nil"/>
            </w:tcBorders>
            <w:shd w:val="clear" w:color="auto" w:fill="FFFFFF"/>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r>
    </w:tbl>
    <w:p>
      <w:pPr>
        <w:jc w:val="left"/>
      </w:pPr>
    </w:p>
    <w:p>
      <w:bookmarkStart w:id="0" w:name="_GoBack"/>
      <w:bookmarkEnd w:id="0"/>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瀹嬩綋">
    <w:altName w:val="04b_21"/>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04b_21">
    <w:panose1 w:val="000004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7751DD"/>
    <w:rsid w:val="157751DD"/>
    <w:rsid w:val="4FFF6259"/>
    <w:rsid w:val="97EFDC9C"/>
    <w:rsid w:val="DBCEF967"/>
    <w:rsid w:val="FFBFD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2020-08-04T10:00:00Z</dcterms:created>
  <dc:creator>Tsia</dc:creator>
  <cp:lastModifiedBy>greatwall</cp:lastModifiedBy>
  <dcterms:modified xsi:type="dcterms:W3CDTF">2022-10-28T10:00:48Z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