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firstLine="960" w:firstLineChars="200"/>
        <w:jc w:val="both"/>
        <w:textAlignment w:val="auto"/>
        <w:rPr>
          <w:rFonts w:hint="default" w:ascii="Times New Roman" w:hAnsi="Times New Roman" w:eastAsia="方正小标宋_GBK" w:cs="Times New Roman"/>
          <w:sz w:val="48"/>
          <w:szCs w:val="48"/>
          <w:lang w:val="en-US" w:eastAsia="zh-CN"/>
        </w:rPr>
      </w:pPr>
    </w:p>
    <w:p>
      <w:pPr>
        <w:keepNext w:val="0"/>
        <w:keepLines w:val="0"/>
        <w:pageBreakBefore w:val="0"/>
        <w:kinsoku/>
        <w:wordWrap/>
        <w:overflowPunct/>
        <w:topLinePunct w:val="0"/>
        <w:bidi w:val="0"/>
        <w:spacing w:line="560" w:lineRule="exact"/>
        <w:ind w:left="0" w:firstLine="960" w:firstLineChars="200"/>
        <w:jc w:val="both"/>
        <w:textAlignment w:val="auto"/>
        <w:rPr>
          <w:rFonts w:hint="default" w:ascii="Times New Roman" w:hAnsi="Times New Roman" w:eastAsia="方正小标宋_GBK" w:cs="Times New Roman"/>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2021年度</w:t>
      </w:r>
      <w:r>
        <w:rPr>
          <w:rFonts w:hint="eastAsia" w:eastAsia="方正小标宋简体" w:cs="Times New Roman"/>
          <w:color w:val="000000" w:themeColor="text1"/>
          <w:sz w:val="44"/>
          <w:szCs w:val="44"/>
          <w:lang w:val="en-US" w:eastAsia="zh-CN"/>
          <w14:textFill>
            <w14:solidFill>
              <w14:schemeClr w14:val="tx1"/>
            </w14:solidFill>
          </w14:textFill>
        </w:rPr>
        <w:t>株洲市</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芦淞区退役军人事务局整体支出绩效自评报告</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bidi w:val="0"/>
        <w:spacing w:line="560" w:lineRule="exact"/>
        <w:ind w:left="0" w:firstLine="880" w:firstLineChars="200"/>
        <w:jc w:val="both"/>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bidi w:val="0"/>
        <w:spacing w:line="560" w:lineRule="exact"/>
        <w:ind w:left="0" w:firstLine="880" w:firstLineChars="200"/>
        <w:jc w:val="both"/>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bidi w:val="0"/>
        <w:spacing w:line="560" w:lineRule="exact"/>
        <w:ind w:left="0" w:firstLine="880" w:firstLineChars="200"/>
        <w:jc w:val="both"/>
        <w:textAlignment w:val="auto"/>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pStyle w:val="3"/>
        <w:rPr>
          <w:rFonts w:hint="default" w:ascii="Times New Roman" w:hAnsi="Times New Roman" w:eastAsia="黑体" w:cs="Times New Roman"/>
          <w:sz w:val="44"/>
          <w:szCs w:val="44"/>
        </w:rPr>
      </w:pPr>
    </w:p>
    <w:p>
      <w:pPr>
        <w:pStyle w:val="3"/>
        <w:rPr>
          <w:rFonts w:hint="default" w:ascii="Times New Roman" w:hAnsi="Times New Roman" w:eastAsia="黑体" w:cs="Times New Roman"/>
          <w:sz w:val="44"/>
          <w:szCs w:val="44"/>
        </w:rPr>
      </w:pPr>
    </w:p>
    <w:p>
      <w:pPr>
        <w:pStyle w:val="3"/>
        <w:rPr>
          <w:rFonts w:hint="default"/>
        </w:rPr>
      </w:pPr>
    </w:p>
    <w:p>
      <w:pPr>
        <w:keepNext w:val="0"/>
        <w:keepLines w:val="0"/>
        <w:pageBreakBefore w:val="0"/>
        <w:kinsoku/>
        <w:wordWrap/>
        <w:overflowPunct/>
        <w:topLinePunct w:val="0"/>
        <w:bidi w:val="0"/>
        <w:spacing w:line="560" w:lineRule="exact"/>
        <w:ind w:left="0" w:firstLine="720" w:firstLineChars="200"/>
        <w:jc w:val="both"/>
        <w:textAlignment w:val="auto"/>
        <w:rPr>
          <w:rFonts w:hint="default" w:ascii="Times New Roman" w:hAnsi="Times New Roman" w:eastAsia="黑体" w:cs="Times New Roman"/>
          <w:sz w:val="36"/>
          <w:szCs w:val="36"/>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w:t>
      </w:r>
      <w:bookmarkStart w:id="0" w:name="_GoBack"/>
      <w:bookmarkEnd w:id="0"/>
      <w:r>
        <w:rPr>
          <w:rFonts w:hint="default" w:ascii="Times New Roman" w:hAnsi="Times New Roman" w:eastAsia="楷体_GB2312" w:cs="Times New Roman"/>
          <w:b/>
          <w:sz w:val="32"/>
          <w:szCs w:val="32"/>
        </w:rPr>
        <w:t>基本情况</w:t>
      </w:r>
    </w:p>
    <w:p>
      <w:pPr>
        <w:keepNext w:val="0"/>
        <w:keepLines w:val="0"/>
        <w:pageBreakBefore w:val="0"/>
        <w:widowControl/>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株洲市芦淞区退役军人事务局属区一级预算单位，部门共有编制人数7人，实有人数</w:t>
      </w:r>
      <w:r>
        <w:rPr>
          <w:rFonts w:hint="default" w:ascii="Times New Roman" w:hAnsi="Times New Roman" w:eastAsia="仿宋" w:cs="Times New Roman"/>
          <w:color w:val="000000"/>
          <w:kern w:val="0"/>
          <w:sz w:val="32"/>
          <w:szCs w:val="32"/>
          <w:lang w:val="en-US" w:eastAsia="zh-CN"/>
        </w:rPr>
        <w:t>9</w:t>
      </w:r>
      <w:r>
        <w:rPr>
          <w:rFonts w:hint="default" w:ascii="Times New Roman" w:hAnsi="Times New Roman" w:eastAsia="仿宋" w:cs="Times New Roman"/>
          <w:color w:val="000000"/>
          <w:kern w:val="0"/>
          <w:sz w:val="32"/>
          <w:szCs w:val="32"/>
        </w:rPr>
        <w:t>人,其中在编人员</w:t>
      </w:r>
      <w:r>
        <w:rPr>
          <w:rFonts w:hint="default" w:ascii="Times New Roman" w:hAnsi="Times New Roman" w:eastAsia="仿宋" w:cs="Times New Roman"/>
          <w:color w:val="000000"/>
          <w:kern w:val="0"/>
          <w:sz w:val="32"/>
          <w:szCs w:val="32"/>
          <w:lang w:val="en-US" w:eastAsia="zh-CN"/>
        </w:rPr>
        <w:t>7</w:t>
      </w:r>
      <w:r>
        <w:rPr>
          <w:rFonts w:hint="default" w:ascii="Times New Roman" w:hAnsi="Times New Roman" w:eastAsia="仿宋" w:cs="Times New Roman"/>
          <w:color w:val="000000"/>
          <w:kern w:val="0"/>
          <w:sz w:val="32"/>
          <w:szCs w:val="32"/>
        </w:rPr>
        <w:t>人，无固定期限人员2人。内设股室1个，为：芦淞区退役军人服务中心。</w:t>
      </w:r>
    </w:p>
    <w:p>
      <w:pPr>
        <w:keepNext w:val="0"/>
        <w:keepLines w:val="0"/>
        <w:pageBreakBefore w:val="0"/>
        <w:widowControl/>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主要职责：贯彻落实党和国家关于退役军人工作的方针政策、法律法规和决策部署，负责军队复员干部、军休干部、退役士兵、无军籍退休职工的移交安置工作和自主择业退役军人的服务管理、待遇保障等。同时，组织开展退役军人思想政治、职业教育和技能培训、就业创业指导帮扶等工作，指导全区拥军优属工作，负责烈士及退役军人荣誉奖励、烈士纪念设施保护及纪念活动等，负责其他优抚事业单位管理工作。</w:t>
      </w:r>
    </w:p>
    <w:p>
      <w:pPr>
        <w:keepNext w:val="0"/>
        <w:keepLines w:val="0"/>
        <w:pageBreakBefore w:val="0"/>
        <w:numPr>
          <w:ilvl w:val="0"/>
          <w:numId w:val="1"/>
        </w:numPr>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部门（单位）年度整体支出绩效目标，</w:t>
      </w:r>
      <w:r>
        <w:rPr>
          <w:rFonts w:hint="default" w:ascii="Times New Roman" w:hAnsi="Times New Roman" w:eastAsia="楷体_GB2312" w:cs="Times New Roman"/>
          <w:b/>
          <w:sz w:val="32"/>
          <w:szCs w:val="32"/>
          <w:lang w:eastAsia="zh-CN"/>
        </w:rPr>
        <w:t>部门</w:t>
      </w:r>
      <w:r>
        <w:rPr>
          <w:rFonts w:hint="default" w:ascii="Times New Roman" w:hAnsi="Times New Roman" w:eastAsia="楷体_GB2312" w:cs="Times New Roman"/>
          <w:b/>
          <w:sz w:val="32"/>
          <w:szCs w:val="32"/>
        </w:rPr>
        <w:t>专项资金绩效目标、其他项目支出（除省级专项资金以外）绩效目标</w:t>
      </w:r>
    </w:p>
    <w:p>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b/>
          <w:bCs/>
          <w:color w:val="000000"/>
          <w:kern w:val="0"/>
          <w:sz w:val="32"/>
          <w:szCs w:val="32"/>
        </w:rPr>
        <w:t>部门（单位）年度整体支出绩效目标</w:t>
      </w:r>
      <w:r>
        <w:rPr>
          <w:rFonts w:hint="default" w:ascii="Times New Roman" w:hAnsi="Times New Roman" w:eastAsia="仿宋" w:cs="Times New Roman"/>
          <w:b/>
          <w:bCs/>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贯彻落实党和国家关于退役军人工作的方针政策、法律法规和决策部署，组织实施全区退役军人服务保障、权益维护、拥军优属、退役安置等工作。</w:t>
      </w:r>
    </w:p>
    <w:p>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b/>
          <w:bCs/>
          <w:color w:val="000000"/>
          <w:kern w:val="0"/>
          <w:sz w:val="32"/>
          <w:szCs w:val="32"/>
          <w:lang w:eastAsia="zh-CN"/>
        </w:rPr>
        <w:t>部门</w:t>
      </w:r>
      <w:r>
        <w:rPr>
          <w:rFonts w:hint="default" w:ascii="Times New Roman" w:hAnsi="Times New Roman" w:eastAsia="仿宋" w:cs="Times New Roman"/>
          <w:b/>
          <w:bCs/>
          <w:color w:val="000000"/>
          <w:kern w:val="0"/>
          <w:sz w:val="32"/>
          <w:szCs w:val="32"/>
        </w:rPr>
        <w:t>专项资金绩效目标</w:t>
      </w:r>
      <w:r>
        <w:rPr>
          <w:rFonts w:hint="default" w:ascii="Times New Roman" w:hAnsi="Times New Roman" w:eastAsia="仿宋" w:cs="Times New Roman"/>
          <w:b/>
          <w:bCs/>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及时缴纳各项物业、水电费用，保障机关工作正常开展。</w:t>
      </w:r>
    </w:p>
    <w:p>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b/>
          <w:bCs/>
          <w:color w:val="000000"/>
          <w:kern w:val="0"/>
          <w:sz w:val="32"/>
          <w:szCs w:val="32"/>
          <w:lang w:val="en-US" w:eastAsia="zh-CN"/>
        </w:rPr>
        <w:t>其他项目绩效目标：</w:t>
      </w:r>
      <w:r>
        <w:rPr>
          <w:rFonts w:hint="default" w:ascii="Times New Roman" w:hAnsi="Times New Roman" w:eastAsia="仿宋" w:cs="Times New Roman"/>
          <w:color w:val="000000"/>
          <w:kern w:val="0"/>
          <w:sz w:val="32"/>
          <w:szCs w:val="32"/>
          <w:lang w:val="en-US" w:eastAsia="zh-CN"/>
        </w:rPr>
        <w:t>负责军队复员干部、军休干部、退役士兵、无军籍退休职工的移交安置工作和自主择业退役军人的服务管理、待遇保障等。组织开展退役军人思想政治、职业教育和技能培训、就业创业指导帮扶等工作。妥善接收安置当年度退役军人。指导全区拥军优属工作，负责烈士及退役军人荣誉奖励、烈士纪念设施保护及纪念活动等，负责其他优抚事业单位管理工作。</w:t>
      </w:r>
    </w:p>
    <w:p>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1、2021年预算资金2806.01万元。</w:t>
      </w:r>
    </w:p>
    <w:p>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2、2021年度单位一般公共预算财政拨款收入2131.05万元。</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3.2021年度单位一般公共预算财政拨款支出2124.6万元，其中：项目支出2003.37万元，基本支出121.23万元，其中：人员经费103.81万元，公用经费17.42万元。</w:t>
      </w:r>
    </w:p>
    <w:p>
      <w:pPr>
        <w:pStyle w:val="8"/>
        <w:keepNext w:val="0"/>
        <w:keepLines w:val="0"/>
        <w:pageBreakBefore w:val="0"/>
        <w:numPr>
          <w:ilvl w:val="0"/>
          <w:numId w:val="2"/>
        </w:numPr>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pPr>
        <w:pStyle w:val="9"/>
        <w:keepNext w:val="0"/>
        <w:keepLines w:val="0"/>
        <w:pageBreakBefore w:val="0"/>
        <w:numPr>
          <w:ilvl w:val="0"/>
          <w:numId w:val="3"/>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一般公共服务（类）政府办公厅（室）及相关机构事务（款）信访事务（项）支出决算为3.67万元。</w:t>
      </w:r>
    </w:p>
    <w:p>
      <w:pPr>
        <w:pStyle w:val="9"/>
        <w:keepNext w:val="0"/>
        <w:keepLines w:val="0"/>
        <w:pageBreakBefore w:val="0"/>
        <w:numPr>
          <w:ilvl w:val="0"/>
          <w:numId w:val="3"/>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一般公共服务（类）政府办公厅（室）及相关机构事务（款）其他政府办公厅（室）及相关机构事务支出（项）支出决算为0.49万元。</w:t>
      </w:r>
    </w:p>
    <w:p>
      <w:pPr>
        <w:pStyle w:val="9"/>
        <w:keepNext w:val="0"/>
        <w:keepLines w:val="0"/>
        <w:pageBreakBefore w:val="0"/>
        <w:numPr>
          <w:ilvl w:val="0"/>
          <w:numId w:val="3"/>
        </w:numPr>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一般公共服务（类）其他共产党事务支出（款）其他共产党事务支出（项）支出决算为2.96万元。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4、社会保障和就业支出（类）行政事业单位养老支出（款）机关事业单位基本养老保险缴费支出（项）支出决算为29.36万元。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5、社会保障和就业支出（类）抚恤（款）死亡抚恤（项）支出决算为242.72万元。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6、社会保障和就业支出（类）抚恤（款）伤残抚恤（项）支出决算为148.4万元。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7、社会保障和就业支出（类）抚恤（款）在乡复员、退伍军人生活补助（项）支出决算为86.19万元。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8、社会保障和就业支出（类）抚恤（款）义务兵优待（项）支出决算为122.4万元。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9、社会保障和就业支出（类）抚恤（款）农村籍退役士兵老年生活补助（项）支出决算为23.04万元。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10、社会保障和就业支出（类）抚恤（款） 其他优抚支出（项）支出决算为1023.8万元。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11、社会保障和就业支出（类）退役安置（款）退役士兵安置支出（项）支出决算为29.99万元。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12、社会保障和就业支出（类）退役安置（款）军队移交政府的离退休人员安置（项）支出决算为38.66万元。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13、社会保障和就业支出（类）退役安置（款）军队转业干部安置（项）支出决算为13.68万元。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14、社会保障和就业支出（类）退役安置（款）其他退役安置支出（项）支出决算为184.61万元。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15、社会保障和就业支出（类）退役军人管理事务（款）行政运行（项）支出决算为1.5万元。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16、社会保障和就业支出（类）退役军人管理事务（款） 其他退役军人事务管理支出（项）支出决算为34.65万元。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17、卫生健康支出（类）优抚对象医疗（款）优抚对象医疗补助（项）支出决算为10.98万元。</w:t>
      </w:r>
    </w:p>
    <w:p>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18、其他支出（类）其他支出（款）其他支出（项）支出决算为6.27万元。</w:t>
      </w:r>
    </w:p>
    <w:p>
      <w:pPr>
        <w:pStyle w:val="8"/>
        <w:keepNext w:val="0"/>
        <w:keepLines w:val="0"/>
        <w:pageBreakBefore w:val="0"/>
        <w:numPr>
          <w:ilvl w:val="0"/>
          <w:numId w:val="4"/>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8"/>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抗疫特别国债安排的支出0.1万元。</w:t>
      </w:r>
    </w:p>
    <w:p>
      <w:pPr>
        <w:pStyle w:val="8"/>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无。</w:t>
      </w:r>
    </w:p>
    <w:p>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无。</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1.组织领导坚强有力</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深入开展党史学习教育，</w:t>
      </w:r>
      <w:r>
        <w:rPr>
          <w:rFonts w:hint="default" w:ascii="Times New Roman" w:hAnsi="Times New Roman" w:eastAsia="仿宋_GB2312" w:cs="Times New Roman"/>
          <w:sz w:val="32"/>
          <w:szCs w:val="32"/>
        </w:rPr>
        <w:t>充分发挥</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党组、党支部的先锋模范作用，结合“建党100周年”将红色基因、参战老兵的战斗故事、退役军人的先进典型事迹融入“三会一课”“五化支部建设”中，打造党建工作亮点。</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val="0"/>
          <w:color w:val="000000"/>
          <w:sz w:val="32"/>
          <w:szCs w:val="32"/>
          <w:lang w:val="en-US" w:eastAsia="zh-CN"/>
        </w:rPr>
        <w:t>2.</w:t>
      </w:r>
      <w:r>
        <w:rPr>
          <w:rFonts w:hint="default" w:ascii="Times New Roman" w:hAnsi="Times New Roman" w:eastAsia="仿宋_GB2312" w:cs="Times New Roman"/>
          <w:b/>
          <w:bCs w:val="0"/>
          <w:color w:val="000000"/>
          <w:sz w:val="32"/>
          <w:szCs w:val="32"/>
          <w:lang w:eastAsia="zh-CN"/>
        </w:rPr>
        <w:t>基础工作扎实有效</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color w:val="000000"/>
          <w:sz w:val="32"/>
          <w:szCs w:val="32"/>
        </w:rPr>
        <w:t>一是底数</w:t>
      </w:r>
      <w:r>
        <w:rPr>
          <w:rFonts w:hint="default" w:ascii="Times New Roman" w:hAnsi="Times New Roman" w:eastAsia="仿宋_GB2312" w:cs="Times New Roman"/>
          <w:b/>
          <w:color w:val="000000"/>
          <w:sz w:val="32"/>
          <w:szCs w:val="32"/>
          <w:lang w:eastAsia="zh-CN"/>
        </w:rPr>
        <w:t>清</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rPr>
        <w:t>我区采集</w:t>
      </w:r>
      <w:r>
        <w:rPr>
          <w:rFonts w:hint="default" w:ascii="Times New Roman" w:hAnsi="Times New Roman" w:eastAsia="仿宋_GB2312" w:cs="Times New Roman"/>
          <w:b w:val="0"/>
          <w:bCs w:val="0"/>
          <w:color w:val="000000"/>
          <w:sz w:val="32"/>
          <w:szCs w:val="32"/>
          <w:lang w:eastAsia="zh-CN"/>
        </w:rPr>
        <w:t>录入</w:t>
      </w:r>
      <w:r>
        <w:rPr>
          <w:rFonts w:hint="default" w:ascii="Times New Roman" w:hAnsi="Times New Roman" w:eastAsia="仿宋_GB2312" w:cs="Times New Roman"/>
          <w:b w:val="0"/>
          <w:bCs w:val="0"/>
          <w:color w:val="000000"/>
          <w:sz w:val="32"/>
          <w:szCs w:val="32"/>
        </w:rPr>
        <w:t>退役军人信息</w:t>
      </w:r>
      <w:r>
        <w:rPr>
          <w:rFonts w:hint="default" w:ascii="Times New Roman" w:hAnsi="Times New Roman" w:eastAsia="仿宋_GB2312" w:cs="Times New Roman"/>
          <w:b w:val="0"/>
          <w:bCs w:val="0"/>
          <w:color w:val="000000"/>
          <w:sz w:val="32"/>
          <w:szCs w:val="32"/>
          <w:lang w:val="en-US" w:eastAsia="zh-CN"/>
        </w:rPr>
        <w:t>9006</w:t>
      </w:r>
      <w:r>
        <w:rPr>
          <w:rFonts w:hint="default" w:ascii="Times New Roman" w:hAnsi="Times New Roman" w:eastAsia="仿宋_GB2312" w:cs="Times New Roman"/>
          <w:b w:val="0"/>
          <w:bCs w:val="0"/>
          <w:color w:val="000000"/>
          <w:sz w:val="32"/>
          <w:szCs w:val="32"/>
        </w:rPr>
        <w:t>条，重点优抚对象</w:t>
      </w:r>
      <w:r>
        <w:rPr>
          <w:rFonts w:hint="default" w:ascii="Times New Roman" w:hAnsi="Times New Roman" w:eastAsia="仿宋_GB2312" w:cs="Times New Roman"/>
          <w:b w:val="0"/>
          <w:bCs w:val="0"/>
          <w:color w:val="000000"/>
          <w:sz w:val="32"/>
          <w:szCs w:val="32"/>
          <w:lang w:val="en-US" w:eastAsia="zh-CN"/>
        </w:rPr>
        <w:t>983</w:t>
      </w:r>
      <w:r>
        <w:rPr>
          <w:rFonts w:hint="default" w:ascii="Times New Roman" w:hAnsi="Times New Roman" w:eastAsia="仿宋_GB2312" w:cs="Times New Roman"/>
          <w:b w:val="0"/>
          <w:bCs w:val="0"/>
          <w:color w:val="000000"/>
          <w:sz w:val="32"/>
          <w:szCs w:val="32"/>
        </w:rPr>
        <w:t>人</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rPr>
        <w:t>目前，已建立退役军人电子信息化管理系统，录入退役军人档案信息2800卷。</w:t>
      </w:r>
      <w:r>
        <w:rPr>
          <w:rFonts w:hint="default" w:ascii="Times New Roman" w:hAnsi="Times New Roman" w:eastAsia="仿宋_GB2312" w:cs="Times New Roman"/>
          <w:b/>
          <w:bCs/>
          <w:color w:val="000000"/>
          <w:sz w:val="32"/>
          <w:szCs w:val="32"/>
          <w:lang w:eastAsia="zh-CN"/>
        </w:rPr>
        <w:t>二是注重服务站点建设。</w:t>
      </w:r>
      <w:r>
        <w:rPr>
          <w:rFonts w:hint="default" w:ascii="Times New Roman" w:hAnsi="Times New Roman" w:eastAsia="仿宋_GB2312" w:cs="Times New Roman"/>
          <w:b w:val="0"/>
          <w:bCs w:val="0"/>
          <w:color w:val="000000"/>
          <w:sz w:val="32"/>
          <w:szCs w:val="32"/>
          <w:lang w:eastAsia="zh-CN"/>
        </w:rPr>
        <w:t>按照</w:t>
      </w:r>
      <w:r>
        <w:rPr>
          <w:rFonts w:hint="default" w:ascii="Times New Roman" w:hAnsi="Times New Roman" w:eastAsia="仿宋_GB2312" w:cs="Times New Roman"/>
          <w:color w:val="000000"/>
          <w:sz w:val="32"/>
          <w:szCs w:val="32"/>
        </w:rPr>
        <w:t>“五有”要求</w:t>
      </w:r>
      <w:r>
        <w:rPr>
          <w:rFonts w:hint="default" w:ascii="Times New Roman" w:hAnsi="Times New Roman" w:eastAsia="仿宋_GB2312" w:cs="Times New Roman"/>
          <w:color w:val="000000"/>
          <w:sz w:val="32"/>
          <w:szCs w:val="32"/>
          <w:lang w:eastAsia="zh-CN"/>
        </w:rPr>
        <w:t>，完成</w:t>
      </w:r>
      <w:r>
        <w:rPr>
          <w:rFonts w:hint="default" w:ascii="Times New Roman" w:hAnsi="Times New Roman" w:eastAsia="仿宋_GB2312" w:cs="Times New Roman"/>
          <w:color w:val="000000"/>
          <w:sz w:val="32"/>
          <w:szCs w:val="32"/>
          <w:lang w:val="en-US" w:eastAsia="zh-CN"/>
        </w:rPr>
        <w:t>8个</w:t>
      </w:r>
      <w:r>
        <w:rPr>
          <w:rFonts w:hint="default" w:ascii="Times New Roman" w:hAnsi="Times New Roman" w:eastAsia="仿宋_GB2312" w:cs="Times New Roman"/>
          <w:b w:val="0"/>
          <w:bCs w:val="0"/>
          <w:color w:val="000000"/>
          <w:sz w:val="32"/>
          <w:szCs w:val="32"/>
        </w:rPr>
        <w:t>街道（镇）</w:t>
      </w:r>
      <w:r>
        <w:rPr>
          <w:rFonts w:hint="default" w:ascii="Times New Roman" w:hAnsi="Times New Roman" w:eastAsia="仿宋_GB2312" w:cs="Times New Roman"/>
          <w:b w:val="0"/>
          <w:bCs w:val="0"/>
          <w:color w:val="000000"/>
          <w:sz w:val="32"/>
          <w:szCs w:val="32"/>
          <w:lang w:eastAsia="zh-CN"/>
        </w:rPr>
        <w:t>和</w:t>
      </w:r>
      <w:r>
        <w:rPr>
          <w:rFonts w:hint="default" w:ascii="Times New Roman" w:hAnsi="Times New Roman" w:eastAsia="仿宋_GB2312" w:cs="Times New Roman"/>
          <w:b w:val="0"/>
          <w:bCs w:val="0"/>
          <w:color w:val="000000"/>
          <w:sz w:val="32"/>
          <w:szCs w:val="32"/>
          <w:lang w:val="en-US" w:eastAsia="zh-CN"/>
        </w:rPr>
        <w:t>5个社区（村）</w:t>
      </w:r>
      <w:r>
        <w:rPr>
          <w:rFonts w:hint="default" w:ascii="Times New Roman" w:hAnsi="Times New Roman" w:eastAsia="仿宋_GB2312" w:cs="Times New Roman"/>
          <w:b w:val="0"/>
          <w:bCs w:val="0"/>
          <w:color w:val="000000"/>
          <w:sz w:val="32"/>
          <w:szCs w:val="32"/>
          <w:lang w:eastAsia="zh-CN"/>
        </w:rPr>
        <w:t>退役军人</w:t>
      </w:r>
      <w:r>
        <w:rPr>
          <w:rFonts w:hint="default" w:ascii="Times New Roman" w:hAnsi="Times New Roman" w:eastAsia="仿宋_GB2312" w:cs="Times New Roman"/>
          <w:b w:val="0"/>
          <w:bCs w:val="0"/>
          <w:color w:val="000000"/>
          <w:sz w:val="32"/>
          <w:szCs w:val="32"/>
        </w:rPr>
        <w:t>服务站</w:t>
      </w:r>
      <w:r>
        <w:rPr>
          <w:rFonts w:hint="default" w:ascii="Times New Roman" w:hAnsi="Times New Roman" w:eastAsia="仿宋_GB2312" w:cs="Times New Roman"/>
          <w:b w:val="0"/>
          <w:bCs w:val="0"/>
          <w:color w:val="000000"/>
          <w:sz w:val="32"/>
          <w:szCs w:val="32"/>
          <w:lang w:eastAsia="zh-CN"/>
        </w:rPr>
        <w:t>示范点建设。组织</w:t>
      </w:r>
      <w:r>
        <w:rPr>
          <w:rFonts w:hint="default" w:ascii="Times New Roman" w:hAnsi="Times New Roman" w:eastAsia="仿宋_GB2312" w:cs="Times New Roman"/>
          <w:b w:val="0"/>
          <w:bCs w:val="0"/>
          <w:color w:val="000000"/>
          <w:sz w:val="32"/>
          <w:szCs w:val="32"/>
          <w:lang w:val="en-US" w:eastAsia="zh-CN"/>
        </w:rPr>
        <w:t>退役军人服务站工作人员进行了3期业务培训。</w:t>
      </w:r>
      <w:r>
        <w:rPr>
          <w:rFonts w:hint="default" w:ascii="Times New Roman" w:hAnsi="Times New Roman" w:eastAsia="仿宋_GB2312" w:cs="Times New Roman"/>
          <w:b/>
          <w:bCs/>
          <w:color w:val="000000"/>
          <w:sz w:val="32"/>
          <w:szCs w:val="32"/>
          <w:lang w:eastAsia="zh-CN"/>
        </w:rPr>
        <w:t>三是“一卡通”发放走在前列。</w:t>
      </w:r>
      <w:r>
        <w:rPr>
          <w:rFonts w:hint="default" w:ascii="Times New Roman" w:hAnsi="Times New Roman" w:eastAsia="仿宋_GB2312" w:cs="Times New Roman"/>
          <w:b w:val="0"/>
          <w:bCs w:val="0"/>
          <w:color w:val="000000"/>
          <w:sz w:val="32"/>
          <w:szCs w:val="32"/>
          <w:lang w:eastAsia="zh-CN"/>
        </w:rPr>
        <w:t>芦淞区自2021年1月正式采取惠民惠农财政补贴资金“一卡通”发放方式，按照“应用尽用”的原则，我区涉退役军人资金启动20项发放项目。</w:t>
      </w:r>
      <w:r>
        <w:rPr>
          <w:rFonts w:hint="default" w:ascii="Times New Roman" w:hAnsi="Times New Roman" w:eastAsia="仿宋_GB2312" w:cs="Times New Roman"/>
          <w:b/>
          <w:bCs/>
          <w:color w:val="000000"/>
          <w:sz w:val="32"/>
          <w:szCs w:val="32"/>
          <w:lang w:eastAsia="zh-CN"/>
        </w:rPr>
        <w:t>四是开展志愿服务活动</w:t>
      </w:r>
      <w:r>
        <w:rPr>
          <w:rFonts w:hint="default"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成立退役军人志愿服务队，举办退役军人志愿服务队授旗仪式。志愿服务队开展“爱心护考”活动、</w:t>
      </w:r>
      <w:r>
        <w:rPr>
          <w:rFonts w:hint="default" w:ascii="Times New Roman" w:hAnsi="Times New Roman" w:eastAsia="仿宋_GB2312" w:cs="Times New Roman"/>
          <w:color w:val="000000"/>
          <w:sz w:val="32"/>
          <w:szCs w:val="32"/>
          <w:shd w:val="clear" w:color="auto" w:fill="FFFFFF"/>
        </w:rPr>
        <w:t xml:space="preserve"> “冲锋在前，抗疫有我”活动。</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val="0"/>
          <w:color w:val="000000"/>
          <w:sz w:val="32"/>
          <w:szCs w:val="32"/>
          <w:lang w:val="en-US" w:eastAsia="zh-CN"/>
        </w:rPr>
        <w:t>3.</w:t>
      </w:r>
      <w:r>
        <w:rPr>
          <w:rFonts w:hint="default" w:ascii="Times New Roman" w:hAnsi="Times New Roman" w:eastAsia="仿宋_GB2312" w:cs="Times New Roman"/>
          <w:b/>
          <w:bCs w:val="0"/>
          <w:color w:val="000000"/>
          <w:sz w:val="32"/>
          <w:szCs w:val="32"/>
        </w:rPr>
        <w:t>服务保障</w:t>
      </w:r>
      <w:r>
        <w:rPr>
          <w:rFonts w:hint="default" w:ascii="Times New Roman" w:hAnsi="Times New Roman" w:eastAsia="仿宋_GB2312" w:cs="Times New Roman"/>
          <w:b/>
          <w:bCs w:val="0"/>
          <w:color w:val="000000"/>
          <w:sz w:val="32"/>
          <w:szCs w:val="32"/>
          <w:lang w:eastAsia="zh-CN"/>
        </w:rPr>
        <w:t>用心用情</w:t>
      </w:r>
      <w:r>
        <w:rPr>
          <w:rFonts w:hint="default" w:ascii="Times New Roman" w:hAnsi="Times New Roman" w:eastAsia="仿宋_GB2312" w:cs="Times New Roman"/>
          <w:b/>
          <w:bCs w:val="0"/>
          <w:color w:val="000000"/>
          <w:sz w:val="32"/>
          <w:szCs w:val="32"/>
        </w:rPr>
        <w:t>。</w:t>
      </w:r>
      <w:r>
        <w:rPr>
          <w:rFonts w:hint="default" w:ascii="Times New Roman" w:hAnsi="Times New Roman" w:eastAsia="仿宋_GB2312" w:cs="Times New Roman"/>
          <w:b/>
          <w:bCs/>
          <w:color w:val="000000"/>
          <w:sz w:val="32"/>
          <w:szCs w:val="32"/>
          <w:lang w:eastAsia="zh-CN"/>
        </w:rPr>
        <w:t>认真落实优抚褒扬。</w:t>
      </w:r>
      <w:r>
        <w:rPr>
          <w:rFonts w:hint="default" w:ascii="Times New Roman" w:hAnsi="Times New Roman" w:eastAsia="仿宋_GB2312" w:cs="Times New Roman"/>
          <w:b w:val="0"/>
          <w:bCs w:val="0"/>
          <w:color w:val="000000"/>
          <w:sz w:val="32"/>
          <w:szCs w:val="32"/>
          <w:lang w:eastAsia="zh-CN"/>
        </w:rPr>
        <w:t>组织</w:t>
      </w:r>
      <w:r>
        <w:rPr>
          <w:rFonts w:hint="default" w:ascii="Times New Roman" w:hAnsi="Times New Roman" w:eastAsia="仿宋_GB2312" w:cs="Times New Roman"/>
          <w:b w:val="0"/>
          <w:bCs w:val="0"/>
          <w:color w:val="000000"/>
          <w:sz w:val="32"/>
          <w:szCs w:val="32"/>
          <w:lang w:val="en-US" w:eastAsia="zh-CN"/>
        </w:rPr>
        <w:t>40余名重点优抚对象开展短期疗养活动，对30余名特殊困难优抚对象进行关爱帮扶。</w:t>
      </w:r>
      <w:r>
        <w:rPr>
          <w:rFonts w:hint="default" w:ascii="Times New Roman" w:hAnsi="Times New Roman" w:eastAsia="仿宋_GB2312" w:cs="Times New Roman"/>
          <w:color w:val="000000"/>
          <w:sz w:val="32"/>
          <w:szCs w:val="32"/>
        </w:rPr>
        <w:t>举行</w:t>
      </w:r>
      <w:r>
        <w:rPr>
          <w:rFonts w:hint="default" w:ascii="Times New Roman" w:hAnsi="Times New Roman" w:eastAsia="仿宋_GB2312" w:cs="Times New Roman"/>
          <w:color w:val="000000"/>
          <w:sz w:val="32"/>
          <w:szCs w:val="32"/>
          <w:lang w:eastAsia="zh-CN"/>
        </w:rPr>
        <w:t>立功受奖</w:t>
      </w:r>
      <w:r>
        <w:rPr>
          <w:rFonts w:hint="default" w:ascii="Times New Roman" w:hAnsi="Times New Roman" w:eastAsia="仿宋_GB2312" w:cs="Times New Roman"/>
          <w:color w:val="000000"/>
          <w:sz w:val="32"/>
          <w:szCs w:val="32"/>
        </w:rPr>
        <w:t>送喜报仪式，</w:t>
      </w:r>
      <w:r>
        <w:rPr>
          <w:rFonts w:hint="default" w:ascii="Times New Roman" w:hAnsi="Times New Roman" w:eastAsia="仿宋_GB2312" w:cs="Times New Roman"/>
          <w:color w:val="000000"/>
          <w:sz w:val="32"/>
          <w:szCs w:val="32"/>
          <w:lang w:eastAsia="zh-CN"/>
        </w:rPr>
        <w:t>上门为二等功臣赠送</w:t>
      </w:r>
      <w:r>
        <w:rPr>
          <w:rFonts w:hint="default" w:ascii="Times New Roman" w:hAnsi="Times New Roman" w:eastAsia="仿宋_GB2312" w:cs="Times New Roman"/>
          <w:color w:val="000000"/>
          <w:sz w:val="32"/>
          <w:szCs w:val="32"/>
        </w:rPr>
        <w:t>“二等功臣之家”的光荣牌匾。</w:t>
      </w:r>
      <w:r>
        <w:rPr>
          <w:rFonts w:hint="default" w:ascii="Times New Roman" w:hAnsi="Times New Roman" w:eastAsia="仿宋_GB2312" w:cs="Times New Roman"/>
          <w:b/>
          <w:bCs/>
          <w:color w:val="000000"/>
          <w:sz w:val="32"/>
          <w:szCs w:val="32"/>
          <w:lang w:val="en-US" w:eastAsia="zh-CN"/>
        </w:rPr>
        <w:t>创新服务模式，提高退役军人抗风险能力。</w:t>
      </w:r>
      <w:r>
        <w:rPr>
          <w:rFonts w:hint="default" w:ascii="Times New Roman" w:hAnsi="Times New Roman" w:eastAsia="仿宋_GB2312" w:cs="Times New Roman"/>
          <w:b w:val="0"/>
          <w:bCs w:val="0"/>
          <w:color w:val="000000"/>
          <w:sz w:val="32"/>
          <w:szCs w:val="32"/>
          <w:lang w:val="en-US" w:eastAsia="zh-CN"/>
        </w:rPr>
        <w:t>区政府投入近20万元，为我区重点优抚对象购买商业医疗护理险，受到了优抚对象的拥护和好评。</w:t>
      </w:r>
      <w:r>
        <w:rPr>
          <w:rFonts w:hint="default" w:ascii="Times New Roman" w:hAnsi="Times New Roman" w:eastAsia="仿宋_GB2312" w:cs="Times New Roman"/>
          <w:b/>
          <w:bCs w:val="0"/>
          <w:color w:val="000000"/>
          <w:sz w:val="32"/>
          <w:szCs w:val="32"/>
          <w:lang w:eastAsia="zh-CN"/>
        </w:rPr>
        <w:t>组织退役军人欢迎仪式。</w:t>
      </w:r>
      <w:r>
        <w:rPr>
          <w:rFonts w:hint="default" w:ascii="Times New Roman" w:hAnsi="Times New Roman" w:eastAsia="仿宋_GB2312" w:cs="Times New Roman"/>
          <w:b w:val="0"/>
          <w:bCs/>
          <w:color w:val="000000"/>
          <w:sz w:val="32"/>
          <w:szCs w:val="32"/>
          <w:lang w:eastAsia="zh-CN"/>
        </w:rPr>
        <w:t>联合区武装部为今年退役返乡人员举办简朴热烈的欢迎仪式，不断增强了</w:t>
      </w:r>
      <w:r>
        <w:rPr>
          <w:rFonts w:hint="default" w:ascii="Times New Roman" w:hAnsi="Times New Roman" w:eastAsia="仿宋_GB2312" w:cs="Times New Roman"/>
          <w:color w:val="000000"/>
          <w:sz w:val="32"/>
          <w:szCs w:val="32"/>
          <w:lang w:val="en-US" w:eastAsia="zh-CN"/>
        </w:rPr>
        <w:t>退役军人的自豪感、尊崇感、荣誉感。</w:t>
      </w:r>
      <w:r>
        <w:rPr>
          <w:rFonts w:hint="default" w:ascii="Times New Roman" w:hAnsi="Times New Roman" w:eastAsia="仿宋_GB2312" w:cs="Times New Roman"/>
          <w:b/>
          <w:bCs/>
          <w:color w:val="000000"/>
          <w:sz w:val="32"/>
          <w:szCs w:val="32"/>
        </w:rPr>
        <w:t>助力退役军人就业</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今年</w:t>
      </w:r>
      <w:r>
        <w:rPr>
          <w:rFonts w:hint="default" w:ascii="Times New Roman" w:hAnsi="Times New Roman" w:eastAsia="仿宋_GB2312" w:cs="Times New Roman"/>
          <w:b w:val="0"/>
          <w:bCs w:val="0"/>
          <w:color w:val="000000"/>
          <w:sz w:val="32"/>
          <w:szCs w:val="32"/>
        </w:rPr>
        <w:t>举办</w:t>
      </w:r>
      <w:r>
        <w:rPr>
          <w:rFonts w:hint="default" w:ascii="Times New Roman" w:hAnsi="Times New Roman" w:eastAsia="仿宋_GB2312" w:cs="Times New Roman"/>
          <w:b w:val="0"/>
          <w:bCs w:val="0"/>
          <w:color w:val="000000"/>
          <w:sz w:val="32"/>
          <w:szCs w:val="32"/>
          <w:lang w:eastAsia="zh-CN"/>
        </w:rPr>
        <w:t>了</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场退役军人专场招聘会，</w:t>
      </w:r>
      <w:r>
        <w:rPr>
          <w:rFonts w:hint="default" w:ascii="Times New Roman" w:hAnsi="Times New Roman" w:eastAsia="仿宋_GB2312" w:cs="Times New Roman"/>
          <w:color w:val="000000"/>
          <w:kern w:val="2"/>
          <w:sz w:val="32"/>
          <w:szCs w:val="32"/>
          <w:lang w:val="en-US" w:eastAsia="zh-CN" w:bidi="ar"/>
        </w:rPr>
        <w:t>特别是9月组织的退役军人返乡仪式暨退役军人专场招聘会，</w:t>
      </w:r>
      <w:r>
        <w:rPr>
          <w:rFonts w:hint="default" w:ascii="Times New Roman" w:hAnsi="Times New Roman" w:eastAsia="仿宋_GB2312" w:cs="Times New Roman"/>
          <w:b w:val="0"/>
          <w:bCs w:val="0"/>
          <w:color w:val="000000"/>
          <w:sz w:val="32"/>
          <w:szCs w:val="32"/>
        </w:rPr>
        <w:t>精准对接</w:t>
      </w:r>
      <w:r>
        <w:rPr>
          <w:rFonts w:hint="default" w:ascii="Times New Roman" w:hAnsi="Times New Roman" w:eastAsia="仿宋_GB2312" w:cs="Times New Roman"/>
          <w:color w:val="000000"/>
          <w:kern w:val="2"/>
          <w:sz w:val="32"/>
          <w:szCs w:val="32"/>
          <w:lang w:val="en-US" w:eastAsia="zh-CN" w:bidi="ar"/>
        </w:rPr>
        <w:t>15家优质企业为退役军人提供近200个就业岗位，现场达成就业意向30余人。为助力芦淞经济社会发展，点对点为意法集团推荐退役军人就业10人。组织24名退役军人参与</w:t>
      </w:r>
      <w:r>
        <w:rPr>
          <w:rFonts w:hint="default" w:ascii="Times New Roman" w:hAnsi="Times New Roman" w:eastAsia="仿宋_GB2312" w:cs="Times New Roman"/>
          <w:b w:val="0"/>
          <w:bCs w:val="0"/>
          <w:color w:val="000000"/>
          <w:sz w:val="32"/>
          <w:szCs w:val="32"/>
          <w:lang w:val="en-US" w:eastAsia="zh-CN"/>
        </w:rPr>
        <w:t>免费技能培训，提升退役军人就业创业技能。</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val="0"/>
          <w:color w:val="000000"/>
          <w:sz w:val="32"/>
          <w:szCs w:val="32"/>
          <w:lang w:val="en-US" w:eastAsia="zh-CN"/>
        </w:rPr>
        <w:t>4.</w:t>
      </w:r>
      <w:r>
        <w:rPr>
          <w:rFonts w:hint="default" w:ascii="Times New Roman" w:hAnsi="Times New Roman" w:eastAsia="仿宋_GB2312" w:cs="Times New Roman"/>
          <w:b/>
          <w:bCs w:val="0"/>
          <w:color w:val="000000"/>
          <w:sz w:val="32"/>
          <w:szCs w:val="32"/>
          <w:lang w:eastAsia="zh-CN"/>
        </w:rPr>
        <w:t>全力维护大局稳定</w:t>
      </w:r>
      <w:r>
        <w:rPr>
          <w:rFonts w:hint="default" w:ascii="Times New Roman" w:hAnsi="Times New Roman" w:eastAsia="仿宋_GB2312" w:cs="Times New Roman"/>
          <w:b/>
          <w:bCs w:val="0"/>
          <w:color w:val="000000"/>
          <w:sz w:val="32"/>
          <w:szCs w:val="32"/>
        </w:rPr>
        <w:t>。</w:t>
      </w:r>
      <w:r>
        <w:rPr>
          <w:rFonts w:hint="default" w:ascii="Times New Roman" w:hAnsi="Times New Roman" w:eastAsia="仿宋_GB2312" w:cs="Times New Roman"/>
          <w:color w:val="000000"/>
          <w:sz w:val="32"/>
          <w:szCs w:val="32"/>
        </w:rPr>
        <w:t>规范信访接待程序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设立来</w:t>
      </w:r>
      <w:r>
        <w:rPr>
          <w:rFonts w:hint="default" w:ascii="Times New Roman" w:hAnsi="Times New Roman" w:eastAsia="仿宋_GB2312" w:cs="Times New Roman"/>
          <w:color w:val="000000"/>
          <w:sz w:val="32"/>
          <w:szCs w:val="32"/>
          <w:lang w:eastAsia="zh-CN"/>
        </w:rPr>
        <w:t>信</w:t>
      </w:r>
      <w:r>
        <w:rPr>
          <w:rFonts w:hint="default" w:ascii="Times New Roman" w:hAnsi="Times New Roman" w:eastAsia="仿宋_GB2312" w:cs="Times New Roman"/>
          <w:color w:val="000000"/>
          <w:sz w:val="32"/>
          <w:szCs w:val="32"/>
        </w:rPr>
        <w:t>来访接待室，</w:t>
      </w:r>
      <w:r>
        <w:rPr>
          <w:rFonts w:hint="default" w:ascii="Times New Roman" w:hAnsi="Times New Roman" w:eastAsia="仿宋_GB2312" w:cs="Times New Roman"/>
          <w:color w:val="000000"/>
          <w:sz w:val="32"/>
          <w:szCs w:val="32"/>
          <w:lang w:eastAsia="zh-CN"/>
        </w:rPr>
        <w:t>主要领导亲自接访</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建立健全信访联席机制，</w:t>
      </w:r>
      <w:r>
        <w:rPr>
          <w:rFonts w:hint="default" w:ascii="Times New Roman" w:hAnsi="Times New Roman" w:eastAsia="仿宋_GB2312" w:cs="Times New Roman"/>
          <w:color w:val="000000"/>
          <w:sz w:val="32"/>
          <w:szCs w:val="32"/>
        </w:rPr>
        <w:t>加强与政法、公安、信访等部门协调联动。</w:t>
      </w:r>
      <w:r>
        <w:rPr>
          <w:rFonts w:hint="default" w:ascii="Times New Roman" w:hAnsi="Times New Roman" w:eastAsia="仿宋_GB2312" w:cs="Times New Roman"/>
          <w:color w:val="000000"/>
          <w:sz w:val="32"/>
          <w:szCs w:val="32"/>
          <w:lang w:eastAsia="zh-CN"/>
        </w:rPr>
        <w:t>成立网评员队伍，加强网上舆情监控，积极应对网上舆情</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开展“信访矛盾攻坚化解年”活动，积极推动退役军人信访事项减存量、控增量、防变量。</w:t>
      </w:r>
      <w:r>
        <w:rPr>
          <w:rFonts w:hint="default" w:ascii="Times New Roman" w:hAnsi="Times New Roman" w:eastAsia="仿宋_GB2312" w:cs="Times New Roman"/>
          <w:color w:val="000000"/>
          <w:sz w:val="32"/>
          <w:szCs w:val="32"/>
          <w:lang w:eastAsia="zh-CN"/>
        </w:rPr>
        <w:t>突出抓好重要敏感时期信访维稳工作，做好</w:t>
      </w:r>
      <w:r>
        <w:rPr>
          <w:rFonts w:hint="default" w:ascii="Times New Roman" w:hAnsi="Times New Roman" w:eastAsia="仿宋_GB2312" w:cs="Times New Roman"/>
          <w:color w:val="000000"/>
          <w:sz w:val="32"/>
          <w:szCs w:val="32"/>
        </w:rPr>
        <w:t>“全国两会”“清明祭扫”“建党100周年”</w:t>
      </w:r>
      <w:r>
        <w:rPr>
          <w:rFonts w:hint="default" w:ascii="Times New Roman" w:hAnsi="Times New Roman" w:eastAsia="仿宋_GB2312" w:cs="Times New Roman"/>
          <w:color w:val="000000"/>
          <w:sz w:val="32"/>
          <w:szCs w:val="32"/>
          <w:lang w:eastAsia="zh-CN"/>
        </w:rPr>
        <w:t>“十九届六中全会”</w:t>
      </w:r>
      <w:r>
        <w:rPr>
          <w:rFonts w:hint="default" w:ascii="Times New Roman" w:hAnsi="Times New Roman" w:eastAsia="仿宋_GB2312" w:cs="Times New Roman"/>
          <w:color w:val="000000"/>
          <w:sz w:val="32"/>
          <w:szCs w:val="32"/>
        </w:rPr>
        <w:t>等重要敏感时期</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信访维稳安保工作，</w:t>
      </w:r>
      <w:r>
        <w:rPr>
          <w:rFonts w:hint="default" w:ascii="Times New Roman" w:hAnsi="Times New Roman" w:eastAsia="仿宋_GB2312" w:cs="Times New Roman"/>
          <w:color w:val="000000"/>
          <w:sz w:val="32"/>
          <w:szCs w:val="32"/>
          <w:lang w:eastAsia="zh-CN"/>
        </w:rPr>
        <w:t>截止到目前</w:t>
      </w:r>
      <w:r>
        <w:rPr>
          <w:rFonts w:hint="default" w:ascii="Times New Roman" w:hAnsi="Times New Roman" w:eastAsia="仿宋_GB2312" w:cs="Times New Roman"/>
          <w:color w:val="000000"/>
          <w:sz w:val="32"/>
          <w:szCs w:val="32"/>
        </w:rPr>
        <w:t>实现了</w:t>
      </w:r>
      <w:r>
        <w:rPr>
          <w:rFonts w:hint="default" w:ascii="Times New Roman" w:hAnsi="Times New Roman" w:eastAsia="仿宋_GB2312" w:cs="Times New Roman"/>
          <w:color w:val="000000"/>
          <w:sz w:val="32"/>
          <w:szCs w:val="32"/>
          <w:lang w:eastAsia="zh-CN"/>
        </w:rPr>
        <w:t>退役军人零进京、零非访和“五个不发生”目标。</w:t>
      </w:r>
    </w:p>
    <w:p>
      <w:pPr>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pPr>
        <w:pStyle w:val="8"/>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仿宋_GB2312" w:cs="Times New Roman"/>
          <w:b/>
          <w:bCs/>
          <w:color w:val="000000"/>
          <w:kern w:val="2"/>
          <w:sz w:val="32"/>
          <w:szCs w:val="32"/>
          <w:shd w:val="clear" w:color="auto" w:fill="auto"/>
          <w:lang w:val="en-US" w:eastAsia="zh-CN" w:bidi="ar-SA"/>
        </w:rPr>
      </w:pPr>
      <w:r>
        <w:rPr>
          <w:rFonts w:hint="default" w:ascii="Times New Roman" w:hAnsi="Times New Roman" w:eastAsia="仿宋_GB2312" w:cs="Times New Roman"/>
          <w:b/>
          <w:bCs/>
          <w:color w:val="000000"/>
          <w:kern w:val="2"/>
          <w:sz w:val="32"/>
          <w:szCs w:val="32"/>
          <w:shd w:val="clear" w:color="auto" w:fill="auto"/>
          <w:lang w:val="en-US" w:eastAsia="zh-CN" w:bidi="ar-SA"/>
        </w:rPr>
        <w:t>1、一般公共服务支出7.12万元。</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一般公共服务</w:t>
      </w:r>
      <w:r>
        <w:rPr>
          <w:rFonts w:hint="default" w:ascii="Times New Roman" w:hAnsi="Times New Roman" w:eastAsia="仿宋_GB2312" w:cs="Times New Roman"/>
          <w:color w:val="000000"/>
          <w:kern w:val="2"/>
          <w:sz w:val="32"/>
          <w:szCs w:val="32"/>
          <w:lang w:val="en-US" w:eastAsia="zh-CN" w:bidi="ar-SA"/>
        </w:rPr>
        <w:t>用于保障</w:t>
      </w:r>
      <w:r>
        <w:rPr>
          <w:rFonts w:hint="default" w:ascii="Times New Roman" w:hAnsi="Times New Roman" w:eastAsia="仿宋_GB2312" w:cs="Times New Roman"/>
          <w:color w:val="000000"/>
          <w:sz w:val="32"/>
          <w:szCs w:val="32"/>
          <w:lang w:eastAsia="zh-CN"/>
        </w:rPr>
        <w:t>好重要敏感时期重点群体信访稳定工作。</w:t>
      </w:r>
    </w:p>
    <w:p>
      <w:pPr>
        <w:pStyle w:val="8"/>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仿宋_GB2312" w:cs="Times New Roman"/>
          <w:b/>
          <w:bCs/>
          <w:color w:val="000000"/>
          <w:kern w:val="2"/>
          <w:sz w:val="32"/>
          <w:szCs w:val="32"/>
          <w:shd w:val="clear" w:color="auto" w:fill="auto"/>
          <w:lang w:val="en-US" w:eastAsia="zh-CN" w:bidi="ar-SA"/>
        </w:rPr>
      </w:pPr>
      <w:r>
        <w:rPr>
          <w:rFonts w:hint="default" w:ascii="Times New Roman" w:hAnsi="Times New Roman" w:eastAsia="仿宋_GB2312" w:cs="Times New Roman"/>
          <w:b/>
          <w:bCs/>
          <w:color w:val="000000"/>
          <w:kern w:val="2"/>
          <w:sz w:val="32"/>
          <w:szCs w:val="32"/>
          <w:shd w:val="clear" w:color="auto" w:fill="auto"/>
          <w:lang w:val="en-US" w:eastAsia="zh-CN" w:bidi="ar-SA"/>
        </w:rPr>
        <w:t>2、社会保障和就业支出1978.99万元。</w:t>
      </w:r>
    </w:p>
    <w:p>
      <w:pPr>
        <w:keepNext w:val="0"/>
        <w:keepLines w:val="0"/>
        <w:pageBreakBefore w:val="0"/>
        <w:tabs>
          <w:tab w:val="left" w:pos="7560"/>
        </w:tabs>
        <w:kinsoku/>
        <w:wordWrap/>
        <w:overflowPunct/>
        <w:topLinePunct w:val="0"/>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行政事业单位养老支出经费共计29.36万元，用于补充符合条件的退役士兵补缴养老保险、医疗保险财政承担部分，有效的保障了退役士兵养老问题。</w:t>
      </w:r>
    </w:p>
    <w:p>
      <w:pPr>
        <w:keepNext w:val="0"/>
        <w:keepLines w:val="0"/>
        <w:pageBreakBefore w:val="0"/>
        <w:tabs>
          <w:tab w:val="left" w:pos="7560"/>
        </w:tabs>
        <w:kinsoku/>
        <w:wordWrap/>
        <w:overflowPunct/>
        <w:topLinePunct w:val="0"/>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抚恤经费共计1646.55万元，通过发放优抚对象抚恤补助资金、开展双拥慰问工作，使优抚对象等人员的基本生活得到有效保障，包含死亡抚恤、伤残定期抚恤、在乡复原军人退伍补助、义务兵优待金、农村籍退役士兵老年生活补助、其他优抚支出。及时、足额保障全区优抚对象抚恤补助发放到位，进一步改善困难退役军人的生活和健康状况，使优抚对象更直接地感受到党和政府的温暖，不断增强他们的幸福感、获得感和荣誉感。</w:t>
      </w:r>
    </w:p>
    <w:p>
      <w:pPr>
        <w:keepNext w:val="0"/>
        <w:keepLines w:val="0"/>
        <w:pageBreakBefore w:val="0"/>
        <w:tabs>
          <w:tab w:val="left" w:pos="7560"/>
        </w:tabs>
        <w:kinsoku/>
        <w:wordWrap/>
        <w:overflowPunct/>
        <w:topLinePunct w:val="0"/>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退役安置经费共计266.92万元，用于发放自主就业士兵一次性经济补助、军队移交政府的离退休人员安置、军队转业干部安置、其他退役安置支出。大力推行阳光安置，2021年全区退役士官12月份全部安置到位。通过对符合政府安排工作条件而选择自主就业的退役士兵发给一次性就业补助金，提高了退役士兵的获得感、荣誉感。保障军队无军籍退休退职职工移交地方安置后，享受安置地财政全额拨款事业单位同职级退休人员同等津贴补贴待遇。</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退役军人管理事务经费共计36.15万元，用于信访维稳工作、困难帮扶工作、解决历史遗留问题等。通过落实政策、走访慰问、协调联系解决退役军人实际困难问题11个，建立各项退役军人信访工作机制，全年接访530余次，有效维护了全区退役军人群体稳定。</w:t>
      </w:r>
    </w:p>
    <w:p>
      <w:pPr>
        <w:pStyle w:val="8"/>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仿宋_GB2312" w:cs="Times New Roman"/>
          <w:b/>
          <w:bCs/>
          <w:color w:val="000000"/>
          <w:kern w:val="2"/>
          <w:sz w:val="32"/>
          <w:szCs w:val="32"/>
          <w:shd w:val="clear" w:color="auto" w:fill="auto"/>
          <w:lang w:val="en-US" w:eastAsia="zh-CN" w:bidi="ar-SA"/>
        </w:rPr>
      </w:pPr>
      <w:r>
        <w:rPr>
          <w:rFonts w:hint="default" w:ascii="Times New Roman" w:hAnsi="Times New Roman" w:eastAsia="仿宋_GB2312" w:cs="Times New Roman"/>
          <w:b/>
          <w:bCs/>
          <w:color w:val="000000"/>
          <w:kern w:val="2"/>
          <w:sz w:val="32"/>
          <w:szCs w:val="32"/>
          <w:shd w:val="clear" w:color="auto" w:fill="auto"/>
          <w:lang w:val="en-US" w:eastAsia="zh-CN" w:bidi="ar-SA"/>
        </w:rPr>
        <w:t>3、卫生健康支出10.98万元。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优抚对象医疗保障共计10.98万元，通过发放优抚对象医疗补助资金，使优抚对象参保缴费、住院和门诊费用进行补助，有效帮助解决优抚对象医疗难问题。</w:t>
      </w:r>
    </w:p>
    <w:p>
      <w:pPr>
        <w:pStyle w:val="8"/>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仿宋_GB2312" w:cs="Times New Roman"/>
          <w:b/>
          <w:bCs/>
          <w:color w:val="000000"/>
          <w:kern w:val="2"/>
          <w:sz w:val="32"/>
          <w:szCs w:val="32"/>
          <w:shd w:val="clear" w:color="auto" w:fill="auto"/>
          <w:lang w:val="en-US" w:eastAsia="zh-CN" w:bidi="ar-SA"/>
        </w:rPr>
      </w:pPr>
      <w:r>
        <w:rPr>
          <w:rFonts w:hint="default" w:ascii="Times New Roman" w:hAnsi="Times New Roman" w:eastAsia="仿宋_GB2312" w:cs="Times New Roman"/>
          <w:b/>
          <w:bCs/>
          <w:color w:val="000000"/>
          <w:kern w:val="2"/>
          <w:sz w:val="32"/>
          <w:szCs w:val="32"/>
          <w:shd w:val="clear" w:color="auto" w:fill="auto"/>
          <w:lang w:val="en-US" w:eastAsia="zh-CN" w:bidi="ar-SA"/>
        </w:rPr>
        <w:t>4、其他支出6.27万元。</w:t>
      </w:r>
    </w:p>
    <w:p>
      <w:pPr>
        <w:keepNext w:val="0"/>
        <w:keepLines w:val="0"/>
        <w:pageBreakBefore w:val="0"/>
        <w:kinsoku/>
        <w:wordWrap/>
        <w:overflowPunct/>
        <w:topLinePunct w:val="0"/>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用于单位其他中心工作、机关运转服务等。</w:t>
      </w:r>
    </w:p>
    <w:p>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预算数与决算数存在一定差异，其主要原因是一是2021年有项目资金直拨镇（街道），年底直接在镇（街道）核算资金；二是削减部分人员经费项目；三是今年财政资金紧张，部分专项资金未能在当年度及时拨付发放到位。项目支出绩效评价指标体系不完善，给考核评价及评分工作带来一定的困难。在绩效评价工作中，财政支出子项目多，多个子项目合并为一个主项目时存在一定困难，有些项目绩效评价存在困难。</w:t>
      </w:r>
    </w:p>
    <w:p>
      <w:pPr>
        <w:keepNext w:val="0"/>
        <w:keepLines w:val="0"/>
        <w:pageBreakBefore w:val="0"/>
        <w:numPr>
          <w:ilvl w:val="0"/>
          <w:numId w:val="5"/>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一是高度重视绩效管理工作，有计划有步骤的实施绩效</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；二是加强预算执行管理，定期</w:t>
      </w:r>
      <w:r>
        <w:rPr>
          <w:rFonts w:hint="eastAsia" w:ascii="Times New Roman" w:hAnsi="Times New Roman" w:eastAsia="仿宋_GB2312" w:cs="Times New Roman"/>
          <w:sz w:val="32"/>
          <w:szCs w:val="32"/>
          <w:lang w:val="en-US" w:eastAsia="zh-CN"/>
        </w:rPr>
        <w:t>监控</w:t>
      </w:r>
      <w:r>
        <w:rPr>
          <w:rFonts w:hint="default" w:ascii="Times New Roman" w:hAnsi="Times New Roman" w:eastAsia="仿宋_GB2312" w:cs="Times New Roman"/>
          <w:sz w:val="32"/>
          <w:szCs w:val="32"/>
          <w:lang w:val="en-US" w:eastAsia="zh-CN"/>
        </w:rPr>
        <w:t>项目资金使用进度和预算执行进度，并对做好预算管理工作提出具体要求；三是加强督促跟踪问效，定期对项目、资金管理情况进行跟踪检查，督促按时、按质、按量完成项目建设。四是加强争取上级资金，保证资金及时拨付发放到位。</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本单位没有独立网站，</w:t>
      </w:r>
      <w:r>
        <w:rPr>
          <w:rFonts w:hint="eastAsia" w:ascii="Times New Roman" w:hAnsi="Times New Roman" w:eastAsia="仿宋_GB2312" w:cs="Times New Roman"/>
          <w:sz w:val="32"/>
          <w:szCs w:val="32"/>
          <w:lang w:eastAsia="zh-CN"/>
        </w:rPr>
        <w:t>自评结果将</w:t>
      </w:r>
      <w:r>
        <w:rPr>
          <w:rFonts w:hint="default" w:ascii="Times New Roman" w:hAnsi="Times New Roman" w:eastAsia="仿宋_GB2312" w:cs="Times New Roman"/>
          <w:sz w:val="32"/>
          <w:szCs w:val="32"/>
        </w:rPr>
        <w:t>在芦淞区政府信息公开专栏中公开。</w:t>
      </w:r>
    </w:p>
    <w:p>
      <w:pPr>
        <w:keepNext w:val="0"/>
        <w:keepLines w:val="0"/>
        <w:pageBreakBefore w:val="0"/>
        <w:numPr>
          <w:ilvl w:val="0"/>
          <w:numId w:val="6"/>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无。</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cs="Times New Roman"/>
        </w:rPr>
      </w:pPr>
      <w:r>
        <w:rPr>
          <w:rFonts w:hint="default" w:ascii="Times New Roman" w:hAnsi="Times New Roman" w:eastAsia="黑体" w:cs="Times New Roman"/>
          <w:sz w:val="32"/>
          <w:szCs w:val="32"/>
        </w:rPr>
        <w:br w:type="page"/>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1809A"/>
    <w:multiLevelType w:val="singleLevel"/>
    <w:tmpl w:val="A451809A"/>
    <w:lvl w:ilvl="0" w:tentative="0">
      <w:start w:val="2"/>
      <w:numFmt w:val="chineseCounting"/>
      <w:suff w:val="nothing"/>
      <w:lvlText w:val="（%1）"/>
      <w:lvlJc w:val="left"/>
      <w:rPr>
        <w:rFonts w:hint="eastAsia"/>
      </w:rPr>
    </w:lvl>
  </w:abstractNum>
  <w:abstractNum w:abstractNumId="1">
    <w:nsid w:val="B7537551"/>
    <w:multiLevelType w:val="singleLevel"/>
    <w:tmpl w:val="B7537551"/>
    <w:lvl w:ilvl="0" w:tentative="0">
      <w:start w:val="8"/>
      <w:numFmt w:val="chineseCounting"/>
      <w:suff w:val="nothing"/>
      <w:lvlText w:val="%1、"/>
      <w:lvlJc w:val="left"/>
      <w:rPr>
        <w:rFonts w:hint="eastAsia"/>
      </w:rPr>
    </w:lvl>
  </w:abstractNum>
  <w:abstractNum w:abstractNumId="2">
    <w:nsid w:val="BA988E07"/>
    <w:multiLevelType w:val="singleLevel"/>
    <w:tmpl w:val="BA988E07"/>
    <w:lvl w:ilvl="0" w:tentative="0">
      <w:start w:val="3"/>
      <w:numFmt w:val="chineseCounting"/>
      <w:suff w:val="nothing"/>
      <w:lvlText w:val="%1、"/>
      <w:lvlJc w:val="left"/>
      <w:rPr>
        <w:rFonts w:hint="eastAsia"/>
      </w:rPr>
    </w:lvl>
  </w:abstractNum>
  <w:abstractNum w:abstractNumId="3">
    <w:nsid w:val="DF138BF1"/>
    <w:multiLevelType w:val="singleLevel"/>
    <w:tmpl w:val="DF138BF1"/>
    <w:lvl w:ilvl="0" w:tentative="0">
      <w:start w:val="1"/>
      <w:numFmt w:val="decimal"/>
      <w:suff w:val="nothing"/>
      <w:lvlText w:val="%1、"/>
      <w:lvlJc w:val="left"/>
      <w:pPr>
        <w:ind w:left="-10"/>
      </w:pPr>
    </w:lvl>
  </w:abstractNum>
  <w:abstractNum w:abstractNumId="4">
    <w:nsid w:val="2979CA3D"/>
    <w:multiLevelType w:val="singleLevel"/>
    <w:tmpl w:val="2979CA3D"/>
    <w:lvl w:ilvl="0" w:tentative="0">
      <w:start w:val="10"/>
      <w:numFmt w:val="chineseCounting"/>
      <w:suff w:val="nothing"/>
      <w:lvlText w:val="%1、"/>
      <w:lvlJc w:val="left"/>
      <w:rPr>
        <w:rFonts w:hint="eastAsia"/>
      </w:rPr>
    </w:lvl>
  </w:abstractNum>
  <w:abstractNum w:abstractNumId="5">
    <w:nsid w:val="4890FF15"/>
    <w:multiLevelType w:val="singleLevel"/>
    <w:tmpl w:val="4890FF15"/>
    <w:lvl w:ilvl="0" w:tentative="0">
      <w:start w:val="2"/>
      <w:numFmt w:val="chineseCounting"/>
      <w:suff w:val="nothing"/>
      <w:lvlText w:val="（%1）"/>
      <w:lvlJc w:val="left"/>
      <w:rPr>
        <w:rFonts w:hint="eastAsia"/>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6D35B6"/>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35C6818"/>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A34E72"/>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01D1B"/>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782049"/>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1E1113"/>
    <w:rsid w:val="67303E4C"/>
    <w:rsid w:val="67347CE6"/>
    <w:rsid w:val="673D5A3D"/>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3F2A6C"/>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center"/>
    </w:pPr>
    <w:rPr>
      <w:rFonts w:ascii="方正小标宋简体" w:hAnsi="方正小标宋简体" w:eastAsia="方正大标宋简体" w:cs="Times New Roman"/>
      <w:kern w:val="2"/>
      <w:sz w:val="44"/>
      <w:szCs w:val="2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annotation text"/>
    <w:basedOn w:val="1"/>
    <w:qFormat/>
    <w:uiPriority w:val="0"/>
    <w:pPr>
      <w:jc w:val="left"/>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next w:val="5"/>
    <w:qFormat/>
    <w:uiPriority w:val="99"/>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3754</Words>
  <Characters>3970</Characters>
  <Lines>0</Lines>
  <Paragraphs>0</Paragraphs>
  <TotalTime>4</TotalTime>
  <ScaleCrop>false</ScaleCrop>
  <LinksUpToDate>false</LinksUpToDate>
  <CharactersWithSpaces>3977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E4F09AB97B604E6B94B943F6247E4FEA</vt:lpwstr>
  </property>
</Properties>
</file>