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firstLine="960" w:firstLineChars="200"/>
        <w:jc w:val="both"/>
        <w:rPr>
          <w:rFonts w:hint="default" w:ascii="Times New Roman" w:hAnsi="Times New Roman" w:eastAsia="方正小标宋_GBK" w:cs="Times New Roman"/>
          <w:sz w:val="48"/>
          <w:szCs w:val="48"/>
        </w:rPr>
      </w:pPr>
    </w:p>
    <w:p>
      <w:pPr>
        <w:keepNext w:val="0"/>
        <w:keepLines w:val="0"/>
        <w:pageBreakBefore w:val="0"/>
        <w:kinsoku/>
        <w:wordWrap/>
        <w:overflowPunct/>
        <w:topLinePunct w:val="0"/>
        <w:autoSpaceDE/>
        <w:autoSpaceDN/>
        <w:bidi w:val="0"/>
        <w:spacing w:line="560" w:lineRule="exact"/>
        <w:ind w:left="0" w:firstLine="960" w:firstLineChars="200"/>
        <w:jc w:val="both"/>
        <w:rPr>
          <w:rFonts w:hint="default" w:ascii="Times New Roman" w:hAnsi="Times New Roman" w:eastAsia="方正小标宋_GBK" w:cs="Times New Roman"/>
          <w:sz w:val="48"/>
          <w:szCs w:val="48"/>
        </w:rPr>
      </w:pPr>
    </w:p>
    <w:p>
      <w:pPr>
        <w:keepNext w:val="0"/>
        <w:keepLines w:val="0"/>
        <w:pageBreakBefore w:val="0"/>
        <w:kinsoku/>
        <w:wordWrap/>
        <w:overflowPunct/>
        <w:topLinePunct w:val="0"/>
        <w:autoSpaceDE/>
        <w:autoSpaceDN/>
        <w:bidi w:val="0"/>
        <w:spacing w:line="560" w:lineRule="exact"/>
        <w:ind w:left="0" w:firstLine="960" w:firstLineChars="200"/>
        <w:jc w:val="center"/>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2021年度株洲市芦淞区统计局整体支出绩效自评报告</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880" w:firstLineChars="200"/>
        <w:jc w:val="both"/>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left="0" w:firstLine="880" w:firstLineChars="200"/>
        <w:jc w:val="both"/>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left="0" w:firstLine="880" w:firstLineChars="200"/>
        <w:jc w:val="both"/>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left="0" w:firstLine="880" w:firstLineChars="200"/>
        <w:jc w:val="both"/>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left="0" w:firstLine="880" w:firstLineChars="200"/>
        <w:jc w:val="both"/>
        <w:rPr>
          <w:rFonts w:hint="default" w:ascii="Times New Roman" w:hAnsi="Times New Roman" w:eastAsia="黑体" w:cs="Times New Roman"/>
          <w:sz w:val="44"/>
          <w:szCs w:val="44"/>
        </w:rPr>
      </w:pPr>
    </w:p>
    <w:p>
      <w:pPr>
        <w:keepNext w:val="0"/>
        <w:keepLines w:val="0"/>
        <w:pageBreakBefore w:val="0"/>
        <w:kinsoku/>
        <w:wordWrap/>
        <w:overflowPunct/>
        <w:topLinePunct w:val="0"/>
        <w:autoSpaceDE/>
        <w:autoSpaceDN/>
        <w:bidi w:val="0"/>
        <w:spacing w:line="560" w:lineRule="exact"/>
        <w:ind w:left="0" w:firstLine="720" w:firstLineChars="200"/>
        <w:jc w:val="both"/>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bookmarkStart w:id="0" w:name="_GoBack"/>
      <w:bookmarkEnd w:id="0"/>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（一）区统计局基本情况</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芦淞区统计局是区政府工作部门，根据《中共株洲市芦淞区委办公室、株洲市芦淞区人民政府办公室关于印发〈株洲市芦淞区统计局职能配置、内设机构和人员编制规定〉的通知》（芦办发〔2019〕40号），主要职责共有11项，包括贯彻执行国家、省、市有关统计工作的法律、法规和方针、政策，拟定全区统计工作规划并组织实施，指导和协调全区统计工作，监督检查统计法规和统计制度的实施，承担全区一二三产业统计调查监测分析，负责全区国民经济核算，基本单位名录管理，开展三大普查（经济普查、人口普查、农业普查），新增“四上”企业培育暨“小升规”工作，配合做好绩效考核、“民生100”、高质量发展、“一活动一行动”等各类考核业务工作，以及其他专项调查等工作。</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 w:cs="Times New Roman"/>
          <w:sz w:val="32"/>
          <w:szCs w:val="32"/>
        </w:rPr>
        <w:t>区统计局内设办公室（综合核算股）、第一二产业和投资统计股、第三产业和社会事业统计股3个股室,下设经济社会调查中心（参公）和普查中心2个副科级全额拨款事业单位。</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（二）区统计局年度整体支出绩效目标，部门专项资金绩效目标、其他项目支出（除省级专项资金以外）绩效目标</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1、年度整体支出绩效目标</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color w:val="333333"/>
          <w:sz w:val="32"/>
          <w:szCs w:val="32"/>
          <w:shd w:val="clear" w:color="auto" w:fill="FFFFFF"/>
        </w:rPr>
      </w:pPr>
      <w:r>
        <w:rPr>
          <w:rFonts w:hint="default" w:ascii="Times New Roman" w:hAnsi="Times New Roman" w:eastAsia="仿宋" w:cs="Times New Roman"/>
          <w:color w:val="333333"/>
          <w:sz w:val="32"/>
          <w:szCs w:val="32"/>
          <w:shd w:val="clear" w:color="auto" w:fill="FFFFFF"/>
        </w:rPr>
        <w:t>我局认真贯彻落实中央八项规定、六项禁令、执行作风建设相关规定，例行节约，本年三公经费较上年度有明显减少。</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cs="Times New Roman"/>
          <w:color w:val="4C4C4C"/>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 w:cs="Times New Roman"/>
          <w:sz w:val="32"/>
          <w:szCs w:val="32"/>
        </w:rPr>
        <w:t>我局根据年初工作规划和重点性工作，</w:t>
      </w:r>
      <w:r>
        <w:rPr>
          <w:rFonts w:hint="default" w:ascii="Times New Roman" w:hAnsi="Times New Roman" w:eastAsia="仿宋_GB2312" w:cs="Times New Roman"/>
          <w:color w:val="4C4C4C"/>
          <w:sz w:val="32"/>
          <w:szCs w:val="32"/>
        </w:rPr>
        <w:t>（1）承担全区国民经济和社会发展情况分析、监测和研究工作；定期发布全区国民经济、社会发展情况及相关普查、专项调查结果；承担全区国民经济、文化产业、非公经济、中小企业增加值的核算工作；承担全区投入产出调查工作。（2）承担全区工业统计与核算工作；承担全区批发业、零售业、住宿业、餐饮业、地质勘探、信息传输、交通运输仓储业、邮政通讯业、计算机服务、软件业和居民服务业等三产业的相关统计与核算工作；指导全区镇（街道）、村（社区）两级经济社会的综合统计工作。</w:t>
      </w:r>
      <w:r>
        <w:rPr>
          <w:rFonts w:hint="default" w:ascii="Times New Roman" w:hAnsi="Times New Roman" w:eastAsia="仿宋" w:cs="Times New Roman"/>
          <w:sz w:val="32"/>
          <w:szCs w:val="32"/>
        </w:rPr>
        <w:t>完成区委、区政府交办的其他重点工作。</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2、其他项目支出（除省级专项资金以外）绩效目标</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综合统计工作专项：</w:t>
      </w:r>
      <w:r>
        <w:rPr>
          <w:rFonts w:hint="default" w:ascii="Times New Roman" w:hAnsi="Times New Roman" w:eastAsia="仿宋_GB2312" w:cs="Times New Roman"/>
          <w:b/>
          <w:sz w:val="32"/>
          <w:szCs w:val="32"/>
        </w:rPr>
        <w:t>一是抓好企业“一套表”联网直报。</w:t>
      </w:r>
      <w:r>
        <w:rPr>
          <w:rFonts w:hint="default" w:ascii="Times New Roman" w:hAnsi="Times New Roman" w:eastAsia="仿宋_GB2312" w:cs="Times New Roman"/>
          <w:sz w:val="32"/>
          <w:szCs w:val="32"/>
        </w:rPr>
        <w:t>坚持摸底在前、培训在前、监测在前，重点抓好龙头企业、重点行业、重点指标的监测，会同行业主管部门及街道（镇）第一时间核实数据环比、同比增减幅度较大企业情况，确保数据准确可靠。</w:t>
      </w:r>
      <w:r>
        <w:rPr>
          <w:rFonts w:hint="default" w:ascii="Times New Roman" w:hAnsi="Times New Roman" w:eastAsia="仿宋_GB2312" w:cs="Times New Roman"/>
          <w:b/>
          <w:sz w:val="32"/>
          <w:szCs w:val="32"/>
        </w:rPr>
        <w:t>二是顺利完成劳动力调查改革和扩点工作。</w:t>
      </w:r>
      <w:r>
        <w:rPr>
          <w:rFonts w:hint="default" w:ascii="Times New Roman" w:hAnsi="Times New Roman" w:eastAsia="仿宋_GB2312" w:cs="Times New Roman"/>
          <w:bCs/>
          <w:sz w:val="32"/>
          <w:szCs w:val="32"/>
        </w:rPr>
        <w:t>通过精心组织、业务培训、现场指导等措施积极落实省、市调查失业率统计调查有关工作精神，在上半年5个国家调查点逐月轮入开展调查的基础上，统筹谋划好地方调查扩点工作，认真筛选摸底，广泛宣传动员，选定6个地方调查点下半年一同开展调查，统一人员管理、统一物资采购及补贴标准、统一业务要求，有序开展劳动力调查工作，科学反映全区年度调查失业率水平。</w:t>
      </w:r>
      <w:r>
        <w:rPr>
          <w:rFonts w:hint="default" w:ascii="Times New Roman" w:hAnsi="Times New Roman" w:eastAsia="仿宋_GB2312" w:cs="Times New Roman"/>
          <w:b/>
          <w:sz w:val="32"/>
          <w:szCs w:val="32"/>
        </w:rPr>
        <w:t>三是强化统计分析服务。</w:t>
      </w:r>
      <w:r>
        <w:rPr>
          <w:rFonts w:hint="default" w:ascii="Times New Roman" w:hAnsi="Times New Roman" w:eastAsia="仿宋_GB2312" w:cs="Times New Roman"/>
          <w:sz w:val="32"/>
          <w:szCs w:val="32"/>
        </w:rPr>
        <w:t>不断强化对经济运行态势的分析和预判预警能力，月有评估报告、信息快报、简明分析，季有重点分析、综合分析、领导专报，年有重点课题、决策咨询报告，切实为全区经济社会发展提供高效优质的统计服务。</w:t>
      </w:r>
      <w:r>
        <w:rPr>
          <w:rFonts w:hint="default" w:ascii="Times New Roman" w:hAnsi="Times New Roman" w:eastAsia="仿宋_GB2312" w:cs="Times New Roman"/>
          <w:b/>
          <w:sz w:val="32"/>
          <w:szCs w:val="32"/>
        </w:rPr>
        <w:t>四是统筹牵头“四上”企业培育工作。</w:t>
      </w:r>
      <w:r>
        <w:rPr>
          <w:rFonts w:hint="default" w:ascii="Times New Roman" w:hAnsi="Times New Roman" w:eastAsia="仿宋_GB2312" w:cs="Times New Roman"/>
          <w:sz w:val="32"/>
          <w:szCs w:val="32"/>
        </w:rPr>
        <w:t>聘请第三方机构动态更新培育库，会同相关部门定期跟踪走访重点对象，解读税收政策，支持企业规范管理，积极配合申报。</w:t>
      </w:r>
      <w:r>
        <w:rPr>
          <w:rFonts w:hint="default" w:ascii="Times New Roman" w:hAnsi="Times New Roman" w:eastAsia="仿宋_GB2312" w:cs="Times New Roman"/>
          <w:b/>
          <w:bCs/>
          <w:sz w:val="32"/>
          <w:szCs w:val="32"/>
        </w:rPr>
        <w:t>五是广泛开展统计法治宣传。</w:t>
      </w:r>
      <w:r>
        <w:rPr>
          <w:rFonts w:hint="default" w:ascii="Times New Roman" w:hAnsi="Times New Roman" w:eastAsia="仿宋_GB2312" w:cs="Times New Roman"/>
          <w:sz w:val="32"/>
          <w:szCs w:val="32"/>
        </w:rPr>
        <w:t xml:space="preserve">积极落实统计法进党校主体班要求，对统计有关法律法规的主要内容进行了讲解；9月份，以百年党史和统计调查历史、统计法律法规等为主要内容，制作宣传展板，参加全市统计开放日主题宣传活动；9月组织全区统计相关领导干部开展统计应知应会知识考试，提高了领导干部的统计法治意识。 </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人口普查专项：</w:t>
      </w:r>
      <w:r>
        <w:rPr>
          <w:rFonts w:hint="default" w:ascii="Times New Roman" w:hAnsi="Times New Roman" w:eastAsia="仿宋_GB2312" w:cs="Times New Roman"/>
          <w:bCs/>
          <w:sz w:val="32"/>
          <w:szCs w:val="32"/>
        </w:rPr>
        <w:t>利用“四经普”“七人普”数据，在政府门户网站，主动发出邀约，为创业的群众提供周边消费人群及同类市场主体分布情况信息查询服务；通过居民微信群，“四上”企业统计群，定期收集推送省、市、区惠企（民）政策干货，将统计服务直接延伸到企业和人民群众。</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仿宋" w:cs="Times New Roman"/>
          <w:color w:val="000000"/>
          <w:sz w:val="32"/>
          <w:szCs w:val="32"/>
        </w:rPr>
      </w:pPr>
      <w:r>
        <w:rPr>
          <w:rFonts w:hint="default" w:ascii="Times New Roman" w:hAnsi="Times New Roman" w:eastAsia="楷体_GB2312" w:cs="Times New Roman"/>
          <w:b/>
          <w:sz w:val="32"/>
          <w:szCs w:val="32"/>
        </w:rPr>
        <w:t>1、</w:t>
      </w:r>
      <w:r>
        <w:rPr>
          <w:rFonts w:hint="default" w:ascii="Times New Roman" w:hAnsi="Times New Roman" w:eastAsia="仿宋" w:cs="Times New Roman"/>
          <w:color w:val="000000"/>
          <w:sz w:val="32"/>
          <w:szCs w:val="32"/>
        </w:rPr>
        <w:t>2021年预算资金443.91万元。</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2、2021年度单位一般公共预算财政拨款收入309.37万元。</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color w:val="0000FF"/>
          <w:sz w:val="32"/>
          <w:szCs w:val="32"/>
        </w:rPr>
      </w:pPr>
      <w:r>
        <w:rPr>
          <w:rFonts w:hint="default" w:ascii="Times New Roman" w:hAnsi="Times New Roman" w:eastAsia="仿宋" w:cs="Times New Roman"/>
          <w:sz w:val="32"/>
          <w:szCs w:val="32"/>
        </w:rPr>
        <w:t>3.2021年度单位一般公共预算财政拨款支出309.37万元，其中：项目支出113.97万元，基本支出195.4万元，其中：人员经费168.93万元，公用经费26.47万元。</w:t>
      </w:r>
    </w:p>
    <w:p>
      <w:pPr>
        <w:pStyle w:val="5"/>
        <w:keepNext w:val="0"/>
        <w:keepLines w:val="0"/>
        <w:pageBreakBefore w:val="0"/>
        <w:numPr>
          <w:ilvl w:val="0"/>
          <w:numId w:val="1"/>
        </w:numPr>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2021年项目支出合计113.97万元，其中：1、产业项目建设年项目支出0.6万元；2、服饰产业链统计调研专项支出7万元；3、基层统计调查补助经费项目支出0.81万元；4、经济普查项目支出0.9万元；5、人口普查项目支出25.61万元；6、疫情防控经费1.7万元；7、追加调查失业率统计调查工作经费13.96万元；8、综合统计工作专项经费63.39万元。</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无。</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eastAsia" w:ascii="Times New Roman" w:hAnsi="Times New Roman" w:eastAsia="仿宋" w:cs="Times New Roman"/>
          <w:sz w:val="32"/>
          <w:szCs w:val="32"/>
          <w:lang w:eastAsia="zh-CN"/>
        </w:rPr>
        <w:t>无</w:t>
      </w:r>
      <w:r>
        <w:rPr>
          <w:rFonts w:hint="default" w:ascii="Times New Roman" w:hAnsi="Times New Roman" w:eastAsia="仿宋" w:cs="Times New Roman"/>
          <w:sz w:val="32"/>
          <w:szCs w:val="32"/>
        </w:rPr>
        <w:t>。</w:t>
      </w:r>
    </w:p>
    <w:p>
      <w:pPr>
        <w:pStyle w:val="5"/>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keepNext w:val="0"/>
        <w:keepLines w:val="0"/>
        <w:pageBreakBefore w:val="0"/>
        <w:kinsoku/>
        <w:wordWrap/>
        <w:overflowPunct/>
        <w:topLinePunct w:val="0"/>
        <w:autoSpaceDE/>
        <w:autoSpaceDN/>
        <w:bidi w:val="0"/>
        <w:spacing w:line="560" w:lineRule="exact"/>
        <w:ind w:left="0" w:firstLine="640" w:firstLineChars="200"/>
        <w:jc w:val="both"/>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无</w:t>
      </w:r>
      <w:r>
        <w:rPr>
          <w:rFonts w:hint="eastAsia" w:eastAsia="仿宋" w:cs="Times New Roman"/>
          <w:sz w:val="32"/>
          <w:szCs w:val="32"/>
          <w:lang w:eastAsia="zh-CN"/>
        </w:rPr>
        <w:t>。</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(一）部门整体支出绩效情况</w:t>
      </w:r>
    </w:p>
    <w:p>
      <w:pPr>
        <w:keepNext w:val="0"/>
        <w:keepLines w:val="0"/>
        <w:pageBreakBefore w:val="0"/>
        <w:kinsoku/>
        <w:wordWrap/>
        <w:overflowPunct/>
        <w:topLinePunct w:val="0"/>
        <w:autoSpaceDE/>
        <w:autoSpaceDN/>
        <w:bidi w:val="0"/>
        <w:snapToGrid w:val="0"/>
        <w:spacing w:line="560" w:lineRule="exact"/>
        <w:ind w:left="0"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2021年，芦淞区统计局在区委、区政府的正确领导下，在市统计局、市调查队的关心支持下，紧扣市、区工作部署，积极贯彻落实各级统计工作会议精神，坚持做好统计监测，提供统计咨询，优化统计服务，为全区经济社会发展提供坚实的统计保障。</w:t>
      </w:r>
    </w:p>
    <w:p>
      <w:pPr>
        <w:keepNext w:val="0"/>
        <w:keepLines w:val="0"/>
        <w:pageBreakBefore w:val="0"/>
        <w:kinsoku/>
        <w:wordWrap/>
        <w:overflowPunct/>
        <w:topLinePunct w:val="0"/>
        <w:autoSpaceDE/>
        <w:autoSpaceDN/>
        <w:bidi w:val="0"/>
        <w:snapToGrid w:val="0"/>
        <w:spacing w:line="560" w:lineRule="exact"/>
        <w:ind w:left="0" w:firstLine="643" w:firstLineChars="200"/>
        <w:jc w:val="both"/>
        <w:rPr>
          <w:rFonts w:hint="default" w:ascii="Times New Roman" w:hAnsi="Times New Roman" w:eastAsia="楷体_GB2312" w:cs="Times New Roman"/>
          <w:b/>
          <w:sz w:val="32"/>
          <w:szCs w:val="32"/>
        </w:rPr>
      </w:pPr>
      <w:r>
        <w:rPr>
          <w:rFonts w:hint="eastAsia" w:eastAsia="仿宋_GB2312" w:cs="Times New Roman"/>
          <w:b/>
          <w:bCs w:val="0"/>
          <w:sz w:val="32"/>
          <w:szCs w:val="32"/>
          <w:lang w:val="en-US" w:eastAsia="zh-CN"/>
        </w:rPr>
        <w:t>1、</w:t>
      </w:r>
      <w:r>
        <w:rPr>
          <w:rFonts w:hint="default" w:ascii="Times New Roman" w:hAnsi="Times New Roman" w:eastAsia="仿宋_GB2312" w:cs="Times New Roman"/>
          <w:b/>
          <w:bCs w:val="0"/>
          <w:sz w:val="32"/>
          <w:szCs w:val="32"/>
        </w:rPr>
        <w:t>扎实开展党史学习教育</w:t>
      </w:r>
      <w:r>
        <w:rPr>
          <w:rFonts w:hint="eastAsia" w:eastAsia="仿宋_GB2312" w:cs="Times New Roman"/>
          <w:b/>
          <w:bCs w:val="0"/>
          <w:sz w:val="32"/>
          <w:szCs w:val="32"/>
          <w:lang w:eastAsia="zh-CN"/>
        </w:rPr>
        <w:t>。</w:t>
      </w:r>
      <w:r>
        <w:rPr>
          <w:rFonts w:hint="default" w:ascii="Times New Roman" w:hAnsi="Times New Roman" w:eastAsia="仿宋_GB2312" w:cs="Times New Roman"/>
          <w:bCs/>
          <w:sz w:val="32"/>
          <w:szCs w:val="32"/>
        </w:rPr>
        <w:t>区统计局以“学史明理”“学史增信”“学史崇德”“学史力行”为主线，以为群众办实事为落脚点，通过专题研讨、集中学习、专题党课、专家辅导，赴茶陵工农兵政府等红色基地现场学习等方式，</w:t>
      </w:r>
      <w:r>
        <w:rPr>
          <w:rFonts w:hint="default" w:ascii="Times New Roman" w:hAnsi="Times New Roman" w:eastAsia="仿宋_GB2312" w:cs="Times New Roman"/>
          <w:sz w:val="32"/>
          <w:szCs w:val="32"/>
        </w:rPr>
        <w:t>进一步深化了党员干部对党的历史的认识，提升党员思想境界，增强守初心、担使命的思想自觉和行动自觉。</w:t>
      </w:r>
      <w:r>
        <w:rPr>
          <w:rFonts w:hint="default" w:ascii="Times New Roman" w:hAnsi="Times New Roman" w:eastAsia="仿宋_GB2312" w:cs="Times New Roman"/>
          <w:bCs/>
          <w:sz w:val="32"/>
          <w:szCs w:val="32"/>
        </w:rPr>
        <w:t>及时回应群众期盼，深化党史学习教育成果。</w:t>
      </w:r>
    </w:p>
    <w:p>
      <w:pPr>
        <w:keepNext w:val="0"/>
        <w:keepLines w:val="0"/>
        <w:pageBreakBefore w:val="0"/>
        <w:kinsoku/>
        <w:wordWrap/>
        <w:overflowPunct/>
        <w:topLinePunct w:val="0"/>
        <w:autoSpaceDE/>
        <w:autoSpaceDN/>
        <w:bidi w:val="0"/>
        <w:snapToGrid w:val="0"/>
        <w:spacing w:line="560" w:lineRule="exact"/>
        <w:ind w:left="0" w:firstLine="643" w:firstLineChars="200"/>
        <w:jc w:val="both"/>
        <w:rPr>
          <w:rFonts w:hint="default" w:ascii="Times New Roman" w:hAnsi="Times New Roman" w:eastAsia="仿宋_GB2312" w:cs="Times New Roman"/>
          <w:bCs/>
          <w:sz w:val="32"/>
          <w:szCs w:val="32"/>
        </w:rPr>
      </w:pPr>
      <w:r>
        <w:rPr>
          <w:rFonts w:hint="eastAsia" w:eastAsia="仿宋_GB2312" w:cs="Times New Roman"/>
          <w:b/>
          <w:bCs w:val="0"/>
          <w:sz w:val="32"/>
          <w:szCs w:val="32"/>
          <w:lang w:val="en-US" w:eastAsia="zh-CN"/>
        </w:rPr>
        <w:t>2、</w:t>
      </w:r>
      <w:r>
        <w:rPr>
          <w:rFonts w:hint="default" w:eastAsia="仿宋_GB2312" w:cs="Times New Roman"/>
          <w:b/>
          <w:bCs w:val="0"/>
          <w:sz w:val="32"/>
          <w:szCs w:val="32"/>
          <w:lang w:val="en-US" w:eastAsia="zh-CN"/>
        </w:rPr>
        <w:t>积极投入疫情防控阻击战</w:t>
      </w:r>
      <w:r>
        <w:rPr>
          <w:rFonts w:hint="eastAsia" w:eastAsia="仿宋_GB2312" w:cs="Times New Roman"/>
          <w:b/>
          <w:bCs w:val="0"/>
          <w:sz w:val="32"/>
          <w:szCs w:val="32"/>
          <w:lang w:val="en-US" w:eastAsia="zh-CN"/>
        </w:rPr>
        <w:t>。</w:t>
      </w:r>
      <w:r>
        <w:rPr>
          <w:rFonts w:hint="default" w:ascii="Times New Roman" w:hAnsi="Times New Roman" w:eastAsia="仿宋_GB2312" w:cs="Times New Roman"/>
          <w:sz w:val="32"/>
          <w:szCs w:val="32"/>
        </w:rPr>
        <w:t>第一时间参与一线抗疫斗争，电话摸排1000余户，核酸检测登记1500多人，高速路口检查登记车辆1000多辆。</w:t>
      </w:r>
      <w:r>
        <w:rPr>
          <w:rFonts w:hint="default" w:ascii="Times New Roman" w:hAnsi="Times New Roman" w:eastAsia="仿宋_GB2312" w:cs="Times New Roman"/>
          <w:bCs/>
          <w:sz w:val="32"/>
          <w:szCs w:val="32"/>
        </w:rPr>
        <w:t>疫情末，迅速</w:t>
      </w:r>
      <w:r>
        <w:rPr>
          <w:rFonts w:hint="default" w:ascii="Times New Roman" w:hAnsi="Times New Roman" w:eastAsia="仿宋_GB2312" w:cs="Times New Roman"/>
          <w:sz w:val="32"/>
          <w:szCs w:val="32"/>
          <w:shd w:val="clear" w:color="auto" w:fill="FFFFFF"/>
        </w:rPr>
        <w:t>通过问卷调查、电话询问等方式，对180余家企业进行快速调查，组织各专业人员多次对重点行业、重点企业跟踪调查，形成专题调研报告，对策建议获区长肯定批示，并安排区直部门副科职以上干部联系服务企业，仅区局4名参与同志，近期就帮助化解了申报株洲“老字号”、成立非公企业党支部、中高级管理（技术）人员子弟入学等困难问题。</w:t>
      </w:r>
    </w:p>
    <w:p>
      <w:pPr>
        <w:keepNext w:val="0"/>
        <w:keepLines w:val="0"/>
        <w:pageBreakBefore w:val="0"/>
        <w:kinsoku/>
        <w:wordWrap/>
        <w:overflowPunct/>
        <w:topLinePunct w:val="0"/>
        <w:autoSpaceDE/>
        <w:autoSpaceDN/>
        <w:bidi w:val="0"/>
        <w:snapToGrid w:val="0"/>
        <w:spacing w:line="560" w:lineRule="exact"/>
        <w:ind w:left="0" w:firstLine="643" w:firstLineChars="200"/>
        <w:jc w:val="both"/>
        <w:rPr>
          <w:rFonts w:hint="default" w:ascii="Times New Roman" w:hAnsi="Times New Roman" w:eastAsia="仿宋_GB2312" w:cs="Times New Roman"/>
          <w:sz w:val="32"/>
          <w:szCs w:val="32"/>
        </w:rPr>
      </w:pPr>
      <w:r>
        <w:rPr>
          <w:rFonts w:hint="default" w:eastAsia="仿宋_GB2312" w:cs="Times New Roman"/>
          <w:b/>
          <w:bCs w:val="0"/>
          <w:sz w:val="32"/>
          <w:szCs w:val="32"/>
          <w:lang w:val="en-US" w:eastAsia="zh-CN"/>
        </w:rPr>
        <w:t>3、顺利完成省委巡视整改工作</w:t>
      </w:r>
      <w:r>
        <w:rPr>
          <w:rFonts w:hint="eastAsia" w:eastAsia="仿宋_GB2312" w:cs="Times New Roman"/>
          <w:b/>
          <w:bCs w:val="0"/>
          <w:sz w:val="32"/>
          <w:szCs w:val="32"/>
          <w:lang w:val="en-US" w:eastAsia="zh-CN"/>
        </w:rPr>
        <w:t>。</w:t>
      </w:r>
      <w:r>
        <w:rPr>
          <w:rFonts w:hint="default" w:ascii="Times New Roman" w:hAnsi="Times New Roman" w:eastAsia="仿宋_GB2312" w:cs="Times New Roman"/>
          <w:sz w:val="32"/>
          <w:szCs w:val="32"/>
        </w:rPr>
        <w:t>省委巡视统计专项检查反馈的8个问题，已整改到位。比如，出台《统计法进党校主体班制度》，明确各层级学习内容、师资力量、学时等要求，有效解决了领导干部学习阵地偏少的问题；向全区副科职以上干部及统计工作人员发放《统计法律法规汇编》《统计知识读本》，组织青年菁英成长训练营学员参与经济中心工作，开展统计法律法规模拟测试等，进一步提高非统计战线同志对统计工作的知晓度；清理撤销或修改政府门户网站、微信公众号中的不合规信息，全力维护统计法权威。</w:t>
      </w:r>
    </w:p>
    <w:p>
      <w:pPr>
        <w:keepNext w:val="0"/>
        <w:keepLines w:val="0"/>
        <w:pageBreakBefore w:val="0"/>
        <w:kinsoku/>
        <w:wordWrap/>
        <w:overflowPunct/>
        <w:topLinePunct w:val="0"/>
        <w:autoSpaceDE/>
        <w:autoSpaceDN/>
        <w:bidi w:val="0"/>
        <w:snapToGrid w:val="0"/>
        <w:spacing w:line="560" w:lineRule="exact"/>
        <w:ind w:left="0" w:firstLine="643" w:firstLineChars="200"/>
        <w:jc w:val="both"/>
        <w:rPr>
          <w:rFonts w:hint="default" w:ascii="Times New Roman" w:hAnsi="Times New Roman" w:eastAsia="仿宋_GB2312" w:cs="Times New Roman"/>
          <w:sz w:val="32"/>
          <w:szCs w:val="32"/>
        </w:rPr>
      </w:pPr>
      <w:r>
        <w:rPr>
          <w:rFonts w:hint="default" w:eastAsia="仿宋_GB2312" w:cs="Times New Roman"/>
          <w:b/>
          <w:bCs w:val="0"/>
          <w:sz w:val="32"/>
          <w:szCs w:val="32"/>
          <w:lang w:val="en-US" w:eastAsia="zh-CN"/>
        </w:rPr>
        <w:t>4、统计日常工作有序推进</w:t>
      </w:r>
      <w:r>
        <w:rPr>
          <w:rFonts w:hint="eastAsia" w:eastAsia="仿宋_GB2312" w:cs="Times New Roman"/>
          <w:b/>
          <w:bCs w:val="0"/>
          <w:sz w:val="32"/>
          <w:szCs w:val="32"/>
          <w:lang w:val="en-US" w:eastAsia="zh-CN"/>
        </w:rPr>
        <w:t>。</w:t>
      </w:r>
      <w:r>
        <w:rPr>
          <w:rFonts w:hint="default" w:ascii="Times New Roman" w:hAnsi="Times New Roman" w:eastAsia="仿宋_GB2312" w:cs="Times New Roman"/>
          <w:b/>
          <w:sz w:val="32"/>
          <w:szCs w:val="32"/>
        </w:rPr>
        <w:t>一是抓好企业“一套表”联网直报。</w:t>
      </w:r>
      <w:r>
        <w:rPr>
          <w:rFonts w:hint="default" w:ascii="Times New Roman" w:hAnsi="Times New Roman" w:eastAsia="仿宋_GB2312" w:cs="Times New Roman"/>
          <w:sz w:val="32"/>
          <w:szCs w:val="32"/>
        </w:rPr>
        <w:t>坚持摸底在前、培训在前、监测在前，重点抓好龙头企业、重点行业、重点指标的监测，会同行业主管部门及街道（镇）第一时间核实数据环比、同比增减幅度较大企业情况，确保数据准确可靠。</w:t>
      </w:r>
      <w:r>
        <w:rPr>
          <w:rFonts w:hint="default" w:ascii="Times New Roman" w:hAnsi="Times New Roman" w:eastAsia="仿宋_GB2312" w:cs="Times New Roman"/>
          <w:b/>
          <w:sz w:val="32"/>
          <w:szCs w:val="32"/>
        </w:rPr>
        <w:t>二是顺利完成劳动力调查改革和扩点工作。</w:t>
      </w:r>
      <w:r>
        <w:rPr>
          <w:rFonts w:hint="default" w:ascii="Times New Roman" w:hAnsi="Times New Roman" w:eastAsia="仿宋_GB2312" w:cs="Times New Roman"/>
          <w:bCs/>
          <w:sz w:val="32"/>
          <w:szCs w:val="32"/>
        </w:rPr>
        <w:t>通过精心组织、业务培训、现场指导等措施积极落实省、市调查失业率统计调查有关工作精神，在上半年5个国家调查点逐月轮入开展调查的基础上，统筹谋划好地方调查扩点工作，认真筛选摸底，广泛宣传动员，选定6个地方调查点下半年一同开展调查，统一人员管理、统一物资采购及补贴标准、统一业务要求，有序开展劳动力调查工作，科学反映全区年度调查失业率水平。</w:t>
      </w:r>
      <w:r>
        <w:rPr>
          <w:rFonts w:hint="default" w:ascii="Times New Roman" w:hAnsi="Times New Roman" w:eastAsia="仿宋_GB2312" w:cs="Times New Roman"/>
          <w:b/>
          <w:sz w:val="32"/>
          <w:szCs w:val="32"/>
        </w:rPr>
        <w:t>三是强化统计分析服务。</w:t>
      </w:r>
      <w:r>
        <w:rPr>
          <w:rFonts w:hint="default" w:ascii="Times New Roman" w:hAnsi="Times New Roman" w:eastAsia="仿宋_GB2312" w:cs="Times New Roman"/>
          <w:sz w:val="32"/>
          <w:szCs w:val="32"/>
        </w:rPr>
        <w:t>不断强化对经济运行态势的分析和预判预警能力，月有评估报告、信息快报、简明分析，季有重点分析、综合分析、领导专报，年有重点课题、决策咨询报告，切实为全区经济社会发展提供高效优质的统计服务。</w:t>
      </w:r>
      <w:r>
        <w:rPr>
          <w:rFonts w:hint="default" w:ascii="Times New Roman" w:hAnsi="Times New Roman" w:eastAsia="仿宋_GB2312" w:cs="Times New Roman"/>
          <w:b/>
          <w:sz w:val="32"/>
          <w:szCs w:val="32"/>
        </w:rPr>
        <w:t>四是统筹牵头“四上”企业培育工作。</w:t>
      </w:r>
      <w:r>
        <w:rPr>
          <w:rFonts w:hint="default" w:ascii="Times New Roman" w:hAnsi="Times New Roman" w:eastAsia="仿宋_GB2312" w:cs="Times New Roman"/>
          <w:sz w:val="32"/>
          <w:szCs w:val="32"/>
        </w:rPr>
        <w:t>聘请第三方机构动态更新培育库，会同相关部门定期跟踪走访重点对象，解读税收政策，支持企业规范管理，积极配合申报，1-10月申报入库新增新投产企业18家，年度第一批“下升上”企业14家，预计全年有望超过70家。</w:t>
      </w:r>
      <w:r>
        <w:rPr>
          <w:rFonts w:hint="default" w:ascii="Times New Roman" w:hAnsi="Times New Roman" w:eastAsia="仿宋_GB2312" w:cs="Times New Roman"/>
          <w:b/>
          <w:bCs/>
          <w:sz w:val="32"/>
          <w:szCs w:val="32"/>
        </w:rPr>
        <w:t>五是广泛开展统计法治宣传。</w:t>
      </w:r>
      <w:r>
        <w:rPr>
          <w:rFonts w:hint="default" w:ascii="Times New Roman" w:hAnsi="Times New Roman" w:eastAsia="仿宋_GB2312" w:cs="Times New Roman"/>
          <w:sz w:val="32"/>
          <w:szCs w:val="32"/>
        </w:rPr>
        <w:t>积极落实统计法进党校主体班要求，局党组书记、局长袁强胜于5月21日在2021年芦淞区党校科级干部培训班上对统计有关法律法规的主要内容进行了讲解。</w:t>
      </w:r>
    </w:p>
    <w:p>
      <w:pPr>
        <w:keepNext w:val="0"/>
        <w:keepLines w:val="0"/>
        <w:pageBreakBefore w:val="0"/>
        <w:kinsoku/>
        <w:wordWrap/>
        <w:overflowPunct/>
        <w:topLinePunct w:val="0"/>
        <w:autoSpaceDE/>
        <w:autoSpaceDN/>
        <w:bidi w:val="0"/>
        <w:snapToGrid w:val="0"/>
        <w:spacing w:line="560" w:lineRule="exact"/>
        <w:ind w:left="0" w:firstLine="643" w:firstLineChars="200"/>
        <w:jc w:val="both"/>
        <w:rPr>
          <w:rFonts w:hint="default" w:ascii="Times New Roman" w:hAnsi="Times New Roman" w:eastAsia="仿宋_GB2312" w:cs="Times New Roman"/>
          <w:color w:val="000000"/>
          <w:sz w:val="32"/>
          <w:szCs w:val="32"/>
        </w:rPr>
      </w:pPr>
      <w:r>
        <w:rPr>
          <w:rFonts w:hint="default" w:eastAsia="仿宋_GB2312" w:cs="Times New Roman"/>
          <w:b/>
          <w:bCs w:val="0"/>
          <w:sz w:val="32"/>
          <w:szCs w:val="32"/>
          <w:lang w:val="en-US" w:eastAsia="zh-CN"/>
        </w:rPr>
        <w:t>5、持续提升统计数据质量</w:t>
      </w:r>
      <w:r>
        <w:rPr>
          <w:rFonts w:hint="eastAsia" w:eastAsia="仿宋_GB2312" w:cs="Times New Roman"/>
          <w:b/>
          <w:bCs w:val="0"/>
          <w:sz w:val="32"/>
          <w:szCs w:val="32"/>
          <w:lang w:val="en-US" w:eastAsia="zh-CN"/>
        </w:rPr>
        <w:t>。</w:t>
      </w:r>
      <w:r>
        <w:rPr>
          <w:rFonts w:hint="default" w:ascii="Times New Roman" w:hAnsi="Times New Roman" w:eastAsia="仿宋_GB2312" w:cs="Times New Roman"/>
          <w:bCs/>
          <w:sz w:val="32"/>
          <w:szCs w:val="32"/>
        </w:rPr>
        <w:t>通过深入落实省局“千人进企业、服务提质效”专项行动，提升统计数据质量，夯实统计数据基础。</w:t>
      </w:r>
      <w:r>
        <w:rPr>
          <w:rFonts w:hint="default" w:ascii="Times New Roman" w:hAnsi="Times New Roman" w:eastAsia="仿宋_GB2312" w:cs="Times New Roman"/>
          <w:b/>
          <w:sz w:val="32"/>
          <w:szCs w:val="32"/>
        </w:rPr>
        <w:t>一是走访全覆盖。</w:t>
      </w:r>
      <w:r>
        <w:rPr>
          <w:rFonts w:hint="default" w:ascii="Times New Roman" w:hAnsi="Times New Roman" w:eastAsia="仿宋_GB2312" w:cs="Times New Roman"/>
          <w:sz w:val="32"/>
          <w:szCs w:val="32"/>
        </w:rPr>
        <w:t>由区统计局副科职以上干部带队，联合区直相关部门、镇（街道）统计员，实地走访调研“四上”企业（项目业主单位）403家（不含停产、免报企业）、“四下”劳资单位10家，其中，市统计局领导带队走访52家。</w:t>
      </w:r>
      <w:r>
        <w:rPr>
          <w:rFonts w:hint="default" w:ascii="Times New Roman" w:hAnsi="Times New Roman" w:eastAsia="仿宋_GB2312" w:cs="Times New Roman"/>
          <w:b/>
          <w:sz w:val="32"/>
          <w:szCs w:val="32"/>
        </w:rPr>
        <w:t>二是边查边改。</w:t>
      </w:r>
      <w:r>
        <w:rPr>
          <w:rFonts w:hint="default" w:ascii="Times New Roman" w:hAnsi="Times New Roman" w:eastAsia="仿宋_GB2312" w:cs="Times New Roman"/>
          <w:sz w:val="32"/>
          <w:szCs w:val="32"/>
        </w:rPr>
        <w:t>大力宣传统计工作有关法律法规精神，督促指导企业进一步规范统计基础建设，建立健全统计台账，确保数出有据、真实准确，约有80%左右的企业已建立起统计台账和工作制度。</w:t>
      </w:r>
      <w:r>
        <w:rPr>
          <w:rFonts w:hint="default" w:ascii="Times New Roman" w:hAnsi="Times New Roman" w:eastAsia="仿宋_GB2312" w:cs="Times New Roman"/>
          <w:b/>
          <w:sz w:val="32"/>
          <w:szCs w:val="32"/>
        </w:rPr>
        <w:t>三是设法破难题。</w:t>
      </w:r>
      <w:r>
        <w:rPr>
          <w:rFonts w:hint="default" w:ascii="Times New Roman" w:hAnsi="Times New Roman" w:eastAsia="仿宋_GB2312" w:cs="Times New Roman"/>
          <w:sz w:val="32"/>
          <w:szCs w:val="32"/>
        </w:rPr>
        <w:t>同步开展企业用工情况问卷调查，收到企业反映问题35个，及时安排区人社局、镇（街道）等单位，帮助用工矛盾较为突出的企业引进专业技术人才216人。</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（二）专项资金支出绩效情况</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综合统计工作专项资金使用绩效情况：</w:t>
      </w:r>
    </w:p>
    <w:p>
      <w:pPr>
        <w:keepNext w:val="0"/>
        <w:keepLines w:val="0"/>
        <w:pageBreakBefore w:val="0"/>
        <w:kinsoku/>
        <w:wordWrap/>
        <w:overflowPunct/>
        <w:topLinePunct w:val="0"/>
        <w:autoSpaceDE/>
        <w:autoSpaceDN/>
        <w:bidi w:val="0"/>
        <w:spacing w:line="560" w:lineRule="exact"/>
        <w:ind w:left="0"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一是抓好企业“一套表”联网直报。</w:t>
      </w:r>
      <w:r>
        <w:rPr>
          <w:rFonts w:hint="default" w:ascii="Times New Roman" w:hAnsi="Times New Roman" w:eastAsia="仿宋_GB2312" w:cs="Times New Roman"/>
          <w:sz w:val="32"/>
          <w:szCs w:val="32"/>
        </w:rPr>
        <w:t>坚持摸底在前、培训在前、监测在前，重点抓好龙头企业、重点行业、重点指标的监测，会同行业主管部门及街道（镇）第一时间核实数据环比、同比增减幅度较大企业情况，确保数据准确可靠。</w:t>
      </w:r>
      <w:r>
        <w:rPr>
          <w:rFonts w:hint="default" w:ascii="Times New Roman" w:hAnsi="Times New Roman" w:eastAsia="仿宋_GB2312" w:cs="Times New Roman"/>
          <w:b/>
          <w:sz w:val="32"/>
          <w:szCs w:val="32"/>
        </w:rPr>
        <w:t>二是顺利完成劳动力调查改革和扩点工作。</w:t>
      </w:r>
      <w:r>
        <w:rPr>
          <w:rFonts w:hint="default" w:ascii="Times New Roman" w:hAnsi="Times New Roman" w:eastAsia="仿宋_GB2312" w:cs="Times New Roman"/>
          <w:bCs/>
          <w:sz w:val="32"/>
          <w:szCs w:val="32"/>
        </w:rPr>
        <w:t>通过精心组织、业务培训、现场指导等措施积极落实省、市调查失业率统计调查有关工作精神，在上半年5个国家调查点逐月轮入开展调查的基础上，统筹谋划好地方调查扩点工作，认真筛选摸底，广泛宣传动员，选定6个地方调查点下半年一同开展调查，统一人员管理、统一物资采购及补贴标准、统一业务要求，有序开展劳动力调查工作，科学反映全区年度调查失业率水平。</w:t>
      </w:r>
      <w:r>
        <w:rPr>
          <w:rFonts w:hint="default" w:ascii="Times New Roman" w:hAnsi="Times New Roman" w:eastAsia="仿宋_GB2312" w:cs="Times New Roman"/>
          <w:b/>
          <w:sz w:val="32"/>
          <w:szCs w:val="32"/>
        </w:rPr>
        <w:t>三是强化统计分析服务。</w:t>
      </w:r>
      <w:r>
        <w:rPr>
          <w:rFonts w:hint="default" w:ascii="Times New Roman" w:hAnsi="Times New Roman" w:eastAsia="仿宋_GB2312" w:cs="Times New Roman"/>
          <w:sz w:val="32"/>
          <w:szCs w:val="32"/>
        </w:rPr>
        <w:t>不断强化对经济运行态势的分析和预判预警能力，月有评估报告、信息快报、简明分析，季有重点分析、综合分析、领导专报，年有重点课题、决策咨询报告，切实为全区经济社会发展提供高效优质的统计服务。</w:t>
      </w:r>
      <w:r>
        <w:rPr>
          <w:rFonts w:hint="default" w:ascii="Times New Roman" w:hAnsi="Times New Roman" w:eastAsia="仿宋_GB2312" w:cs="Times New Roman"/>
          <w:b/>
          <w:sz w:val="32"/>
          <w:szCs w:val="32"/>
        </w:rPr>
        <w:t>四是统筹牵头“四上”企业培育工作。</w:t>
      </w:r>
      <w:r>
        <w:rPr>
          <w:rFonts w:hint="default" w:ascii="Times New Roman" w:hAnsi="Times New Roman" w:eastAsia="仿宋_GB2312" w:cs="Times New Roman"/>
          <w:sz w:val="32"/>
          <w:szCs w:val="32"/>
        </w:rPr>
        <w:t>聘请第三方机构动态更新培育库，会同相关部门定期跟踪走访重点对象，解读税收政策，支持企业规范管理，积极配合申报，1-10月申报入库新增新投产企业18家，年度第一批“下升上”企业14家，预计全年有望超过70家。</w:t>
      </w:r>
      <w:r>
        <w:rPr>
          <w:rFonts w:hint="default" w:ascii="Times New Roman" w:hAnsi="Times New Roman" w:eastAsia="仿宋_GB2312" w:cs="Times New Roman"/>
          <w:b/>
          <w:bCs/>
          <w:sz w:val="32"/>
          <w:szCs w:val="32"/>
        </w:rPr>
        <w:t>五是广泛开展统计法治宣传。</w:t>
      </w:r>
      <w:r>
        <w:rPr>
          <w:rFonts w:hint="default" w:ascii="Times New Roman" w:hAnsi="Times New Roman" w:eastAsia="仿宋_GB2312" w:cs="Times New Roman"/>
          <w:sz w:val="32"/>
          <w:szCs w:val="32"/>
        </w:rPr>
        <w:t>积极落实统计法进党校主体班要求，局党组书记、局长袁强胜于5月21日在2021年芦淞区党校科级干部培训班上对统计有关法律法规的主要内容进行了讲解；9月份，以百年党史和统计调查历史、统计法律法规等为主要内容，制作宣传展板，参加全市统计开放日主题宣传活动；9月1日，组织全区统计相关领导干部80余人开展统计应知应会知识考试，进一步提高了领导干部的统计法治意识；9月13日，副科职以上领导传阅学习的基础上，区统计局组织全体机关干部及发改、科工信、商粮等部门分管统计领导和统计人员开展了警示教育，会上对省局转发的《国家统计局关于2021年上半年13起重大统计违纪违法案件的通报》的主要内容进行了学习。</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楷体_GB2312" w:cs="Times New Roman"/>
          <w:b/>
          <w:sz w:val="32"/>
          <w:szCs w:val="32"/>
        </w:rPr>
      </w:pPr>
      <w:r>
        <w:rPr>
          <w:rFonts w:hint="default" w:ascii="Times New Roman" w:hAnsi="Times New Roman" w:eastAsia="仿宋" w:cs="Times New Roman"/>
          <w:sz w:val="32"/>
          <w:szCs w:val="32"/>
        </w:rPr>
        <w:t>人口普查专项资金使用绩效情况：</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_GB2312" w:cs="Times New Roman"/>
          <w:bCs/>
          <w:sz w:val="32"/>
          <w:szCs w:val="32"/>
        </w:rPr>
        <w:t>利用“四经普”“七人普”数据，在政府门户网站，主动发出邀约，为创业的群众提供周边消费人群及同类市场主体分布情况信息查询服务；通过居民微信群，“四上”企业统计群，定期收集推送省、市、区惠企（民）政策干货，将统计服务直接延伸到企业和人民群众。</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center"/>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预算编制工作有待细化。预算编制不够明确和细化，预算编制的合理性需要提高。预算执行力度还要进一步加强。</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3" w:firstLineChars="200"/>
        <w:jc w:val="both"/>
        <w:textAlignment w:val="center"/>
        <w:rPr>
          <w:rFonts w:hint="default" w:ascii="Times New Roman" w:hAnsi="Times New Roman" w:eastAsia="楷体" w:cs="Times New Roman"/>
          <w:b/>
          <w:color w:val="333333"/>
          <w:sz w:val="32"/>
          <w:szCs w:val="32"/>
        </w:rPr>
      </w:pPr>
      <w:r>
        <w:rPr>
          <w:rFonts w:hint="default" w:ascii="Times New Roman" w:hAnsi="Times New Roman" w:eastAsia="楷体" w:cs="Times New Roman"/>
          <w:b/>
          <w:color w:val="333333"/>
          <w:sz w:val="32"/>
          <w:szCs w:val="32"/>
        </w:rPr>
        <w:t>(一)制定有效绩效监控机制，确保绩效目标完成</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center"/>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科学设置预算绩效指标，合理安排经费和各项资金，使其物尽其用，更加贴合我局财务工作的实际情况，能够合理运用现有资源，及时协调并向上级多争取资金，保证各预算绩效指标的顺利实施。</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3" w:firstLineChars="200"/>
        <w:jc w:val="both"/>
        <w:textAlignment w:val="center"/>
        <w:rPr>
          <w:rFonts w:hint="default" w:ascii="Times New Roman" w:hAnsi="Times New Roman" w:eastAsia="楷体" w:cs="Times New Roman"/>
          <w:b/>
          <w:color w:val="333333"/>
          <w:sz w:val="32"/>
          <w:szCs w:val="32"/>
        </w:rPr>
      </w:pPr>
      <w:r>
        <w:rPr>
          <w:rFonts w:hint="default" w:ascii="Times New Roman" w:hAnsi="Times New Roman" w:eastAsia="楷体" w:cs="Times New Roman"/>
          <w:b/>
          <w:color w:val="333333"/>
          <w:sz w:val="32"/>
          <w:szCs w:val="32"/>
        </w:rPr>
        <w:t>(二)科学合理编制预算，严格执行预算</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center"/>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细化预算编制工作。严格按照预算编制的相关制度和要求，编制范围尽可能地全面，不漏项。进一步提高预算编制的科学性、合理性、严谨性和可控性。</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3" w:firstLineChars="200"/>
        <w:jc w:val="both"/>
        <w:textAlignment w:val="center"/>
        <w:rPr>
          <w:rFonts w:hint="default" w:ascii="Times New Roman" w:hAnsi="Times New Roman" w:eastAsia="楷体" w:cs="Times New Roman"/>
          <w:b/>
          <w:color w:val="333333"/>
          <w:sz w:val="32"/>
          <w:szCs w:val="32"/>
        </w:rPr>
      </w:pPr>
      <w:r>
        <w:rPr>
          <w:rFonts w:hint="default" w:ascii="Times New Roman" w:hAnsi="Times New Roman" w:eastAsia="楷体" w:cs="Times New Roman"/>
          <w:b/>
          <w:color w:val="333333"/>
          <w:sz w:val="32"/>
          <w:szCs w:val="32"/>
        </w:rPr>
        <w:t>(三)加强管理，完善内部控制支出</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center"/>
        <w:rPr>
          <w:rFonts w:hint="default" w:ascii="Times New Roman" w:hAnsi="Times New Roman" w:eastAsia="仿宋" w:cs="Times New Roman"/>
          <w:color w:val="333333"/>
          <w:sz w:val="32"/>
          <w:szCs w:val="32"/>
        </w:rPr>
      </w:pPr>
      <w:r>
        <w:rPr>
          <w:rFonts w:hint="default" w:ascii="Times New Roman" w:hAnsi="Times New Roman" w:eastAsia="仿宋" w:cs="Times New Roman"/>
          <w:color w:val="333333"/>
          <w:sz w:val="32"/>
          <w:szCs w:val="32"/>
        </w:rPr>
        <w:t>建立和完善内部控制建设，形成系统的内部财务管理制度。加强对专项资金的管理，按工作要求加快专项资金下达及使用进度，切实发挥资金效益。</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left="0" w:firstLine="643" w:firstLineChars="200"/>
        <w:jc w:val="both"/>
        <w:textAlignment w:val="center"/>
        <w:rPr>
          <w:rFonts w:hint="default" w:ascii="Times New Roman" w:hAnsi="Times New Roman" w:eastAsia="楷体" w:cs="Times New Roman"/>
          <w:b/>
          <w:color w:val="333333"/>
          <w:sz w:val="32"/>
          <w:szCs w:val="32"/>
        </w:rPr>
      </w:pPr>
      <w:r>
        <w:rPr>
          <w:rFonts w:hint="default" w:ascii="Times New Roman" w:hAnsi="Times New Roman" w:eastAsia="楷体" w:cs="Times New Roman"/>
          <w:b/>
          <w:color w:val="333333"/>
          <w:sz w:val="32"/>
          <w:szCs w:val="32"/>
        </w:rPr>
        <w:t>(四)强化学习培训，提高思想认识</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仿宋" w:cs="Times New Roman"/>
          <w:color w:val="333333"/>
          <w:sz w:val="32"/>
          <w:szCs w:val="32"/>
        </w:rPr>
        <w:t>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专项支出预算绩效目标汇总表》，综合统计工作专项年度绩效目标与长期绩效目标均为：做好经济运行监测统计（投资、建筑业、房地产业、规模工业、服务业、贸易环资、劳资等）。组织指导、综合协调本辖区单位报送各类统计报表，完成国家和地方布置的统计调查任务和为党政领导、社会公众提供统计服务。完成国家和地方布置的统计调查任务，及时对辖区内单位和个体户进行变更登记，每季度对基本单位名录库及个体户名录库进行维护、更新，绩效评价结果已公开。</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十、其他需要说明的情况</w:t>
      </w:r>
    </w:p>
    <w:p>
      <w:pPr>
        <w:keepNext w:val="0"/>
        <w:keepLines w:val="0"/>
        <w:pageBreakBefore w:val="0"/>
        <w:kinsoku/>
        <w:wordWrap/>
        <w:overflowPunct/>
        <w:topLinePunct w:val="0"/>
        <w:autoSpaceDE/>
        <w:autoSpaceDN/>
        <w:bidi w:val="0"/>
        <w:spacing w:line="560" w:lineRule="exact"/>
        <w:ind w:left="0"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eastAsia="仿宋_GB2312" w:cs="Times New Roman"/>
          <w:sz w:val="32"/>
          <w:szCs w:val="32"/>
          <w:lang w:eastAsia="zh-CN"/>
        </w:rPr>
        <w:t>。</w:t>
      </w: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spacing w:line="560" w:lineRule="exact"/>
        <w:ind w:left="0" w:firstLine="640" w:firstLineChars="200"/>
        <w:jc w:val="both"/>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90FD2"/>
    <w:rsid w:val="00004E70"/>
    <w:rsid w:val="00090FD2"/>
    <w:rsid w:val="00207FA3"/>
    <w:rsid w:val="002206EA"/>
    <w:rsid w:val="00520953"/>
    <w:rsid w:val="00551F99"/>
    <w:rsid w:val="005A433C"/>
    <w:rsid w:val="005D6FA5"/>
    <w:rsid w:val="005E0A4E"/>
    <w:rsid w:val="006A6647"/>
    <w:rsid w:val="00723092"/>
    <w:rsid w:val="00731B2C"/>
    <w:rsid w:val="007544EB"/>
    <w:rsid w:val="00767BB1"/>
    <w:rsid w:val="008B747A"/>
    <w:rsid w:val="008C62A7"/>
    <w:rsid w:val="0094329E"/>
    <w:rsid w:val="009F77C9"/>
    <w:rsid w:val="00A56C8A"/>
    <w:rsid w:val="00A947C7"/>
    <w:rsid w:val="00AB5E16"/>
    <w:rsid w:val="00B05FE4"/>
    <w:rsid w:val="00C051D0"/>
    <w:rsid w:val="00CA5E95"/>
    <w:rsid w:val="00D5092F"/>
    <w:rsid w:val="00DC359F"/>
    <w:rsid w:val="00E55161"/>
    <w:rsid w:val="00F544C5"/>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582626"/>
    <w:rsid w:val="0D60161F"/>
    <w:rsid w:val="0E37458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3630FE"/>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olor w:val="000000"/>
      <w:kern w:val="0"/>
      <w:sz w:val="24"/>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5252</Words>
  <Characters>5393</Characters>
  <Lines>39</Lines>
  <Paragraphs>11</Paragraphs>
  <TotalTime>2</TotalTime>
  <ScaleCrop>false</ScaleCrop>
  <LinksUpToDate>false</LinksUpToDate>
  <CharactersWithSpaces>5394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2022-12-07T03:28:33Z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