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ind w:left="0" w:firstLine="960" w:firstLineChars="200"/>
        <w:jc w:val="both"/>
        <w:textAlignment w:val="auto"/>
        <w:rPr>
          <w:rFonts w:eastAsia="方正小标宋_GBK"/>
          <w:sz w:val="48"/>
          <w:szCs w:val="48"/>
        </w:rPr>
      </w:pPr>
    </w:p>
    <w:p>
      <w:pPr>
        <w:keepNext w:val="0"/>
        <w:keepLines w:val="0"/>
        <w:pageBreakBefore w:val="0"/>
        <w:kinsoku/>
        <w:wordWrap/>
        <w:overflowPunct/>
        <w:topLinePunct w:val="0"/>
        <w:bidi w:val="0"/>
        <w:spacing w:line="560" w:lineRule="exact"/>
        <w:ind w:left="0" w:firstLine="960" w:firstLineChars="200"/>
        <w:jc w:val="center"/>
        <w:textAlignment w:val="auto"/>
        <w:rPr>
          <w:rFonts w:eastAsia="方正小标宋_GBK"/>
          <w:sz w:val="48"/>
          <w:szCs w:val="48"/>
        </w:rPr>
      </w:pPr>
    </w:p>
    <w:p>
      <w:pPr>
        <w:keepNext w:val="0"/>
        <w:keepLines w:val="0"/>
        <w:pageBreakBefore w:val="0"/>
        <w:kinsoku/>
        <w:wordWrap/>
        <w:overflowPunct/>
        <w:topLinePunct w:val="0"/>
        <w:bidi w:val="0"/>
        <w:spacing w:line="560" w:lineRule="exact"/>
        <w:jc w:val="center"/>
        <w:textAlignment w:val="auto"/>
        <w:rPr>
          <w:rFonts w:eastAsia="方正小标宋_GBK"/>
          <w:sz w:val="48"/>
          <w:szCs w:val="48"/>
        </w:rPr>
      </w:pPr>
      <w:r>
        <w:rPr>
          <w:rFonts w:eastAsia="方正小标宋_GBK"/>
          <w:sz w:val="48"/>
          <w:szCs w:val="48"/>
        </w:rPr>
        <w:t>2021年度</w:t>
      </w:r>
      <w:r>
        <w:rPr>
          <w:rFonts w:hint="eastAsia" w:eastAsia="方正小标宋_GBK"/>
          <w:sz w:val="48"/>
          <w:szCs w:val="48"/>
        </w:rPr>
        <w:t>株洲市芦淞区市场监督管理局</w:t>
      </w:r>
      <w:r>
        <w:rPr>
          <w:rFonts w:eastAsia="方正小标宋_GBK"/>
          <w:sz w:val="48"/>
          <w:szCs w:val="48"/>
        </w:rPr>
        <w:t>部门</w:t>
      </w:r>
      <w:r>
        <w:rPr>
          <w:rFonts w:hint="eastAsia" w:eastAsia="方正小标宋_GBK"/>
          <w:sz w:val="48"/>
          <w:szCs w:val="48"/>
        </w:rPr>
        <w:t>整体</w:t>
      </w:r>
      <w:r>
        <w:rPr>
          <w:rFonts w:eastAsia="方正小标宋_GBK"/>
          <w:sz w:val="48"/>
          <w:szCs w:val="48"/>
        </w:rPr>
        <w:t>支出绩效自评报告</w:t>
      </w:r>
    </w:p>
    <w:p>
      <w:pPr>
        <w:keepNext w:val="0"/>
        <w:keepLines w:val="0"/>
        <w:pageBreakBefore w:val="0"/>
        <w:kinsoku/>
        <w:wordWrap/>
        <w:overflowPunct/>
        <w:topLinePunct w:val="0"/>
        <w:bidi w:val="0"/>
        <w:spacing w:line="560" w:lineRule="exact"/>
        <w:ind w:left="0" w:firstLine="643" w:firstLineChars="200"/>
        <w:jc w:val="center"/>
        <w:textAlignment w:val="auto"/>
        <w:rPr>
          <w:rFonts w:hint="eastAsia" w:eastAsia="楷体_GB2312"/>
          <w:b/>
          <w:sz w:val="32"/>
          <w:szCs w:val="32"/>
        </w:rPr>
      </w:pPr>
    </w:p>
    <w:p>
      <w:pPr>
        <w:keepNext w:val="0"/>
        <w:keepLines w:val="0"/>
        <w:pageBreakBefore w:val="0"/>
        <w:kinsoku/>
        <w:wordWrap/>
        <w:overflowPunct/>
        <w:topLinePunct w:val="0"/>
        <w:bidi w:val="0"/>
        <w:spacing w:line="560" w:lineRule="exact"/>
        <w:ind w:left="0"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left="0"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left="0"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left="0"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left="0"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left="0"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left="0"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left="0" w:firstLine="880" w:firstLineChars="200"/>
        <w:jc w:val="both"/>
        <w:textAlignment w:val="auto"/>
        <w:rPr>
          <w:rFonts w:eastAsia="黑体"/>
          <w:sz w:val="44"/>
          <w:szCs w:val="44"/>
        </w:rPr>
      </w:pPr>
    </w:p>
    <w:p>
      <w:pPr>
        <w:keepNext w:val="0"/>
        <w:keepLines w:val="0"/>
        <w:pageBreakBefore w:val="0"/>
        <w:kinsoku/>
        <w:wordWrap/>
        <w:overflowPunct/>
        <w:topLinePunct w:val="0"/>
        <w:bidi w:val="0"/>
        <w:spacing w:line="560" w:lineRule="exact"/>
        <w:ind w:left="0" w:firstLine="880" w:firstLineChars="200"/>
        <w:jc w:val="both"/>
        <w:textAlignment w:val="auto"/>
        <w:rPr>
          <w:rFonts w:eastAsia="黑体"/>
          <w:sz w:val="44"/>
          <w:szCs w:val="44"/>
        </w:rPr>
      </w:pPr>
    </w:p>
    <w:p>
      <w:pPr>
        <w:keepNext w:val="0"/>
        <w:keepLines w:val="0"/>
        <w:pageBreakBefore w:val="0"/>
        <w:kinsoku/>
        <w:wordWrap/>
        <w:overflowPunct/>
        <w:topLinePunct w:val="0"/>
        <w:bidi w:val="0"/>
        <w:spacing w:line="560" w:lineRule="exact"/>
        <w:ind w:left="0" w:firstLine="880" w:firstLineChars="200"/>
        <w:jc w:val="both"/>
        <w:textAlignment w:val="auto"/>
        <w:rPr>
          <w:rFonts w:eastAsia="黑体"/>
          <w:sz w:val="44"/>
          <w:szCs w:val="44"/>
        </w:rPr>
      </w:pPr>
    </w:p>
    <w:p>
      <w:pPr>
        <w:keepNext w:val="0"/>
        <w:keepLines w:val="0"/>
        <w:pageBreakBefore w:val="0"/>
        <w:kinsoku/>
        <w:wordWrap/>
        <w:overflowPunct/>
        <w:topLinePunct w:val="0"/>
        <w:bidi w:val="0"/>
        <w:spacing w:line="560" w:lineRule="exact"/>
        <w:ind w:left="0" w:firstLine="880" w:firstLineChars="200"/>
        <w:jc w:val="both"/>
        <w:textAlignment w:val="auto"/>
        <w:rPr>
          <w:rFonts w:eastAsia="黑体"/>
          <w:sz w:val="44"/>
          <w:szCs w:val="44"/>
        </w:rPr>
      </w:pPr>
    </w:p>
    <w:p>
      <w:pPr>
        <w:keepNext w:val="0"/>
        <w:keepLines w:val="0"/>
        <w:pageBreakBefore w:val="0"/>
        <w:kinsoku/>
        <w:wordWrap/>
        <w:overflowPunct/>
        <w:topLinePunct w:val="0"/>
        <w:bidi w:val="0"/>
        <w:spacing w:line="560" w:lineRule="exact"/>
        <w:ind w:left="0" w:firstLine="880" w:firstLineChars="200"/>
        <w:jc w:val="both"/>
        <w:textAlignment w:val="auto"/>
        <w:rPr>
          <w:rFonts w:eastAsia="黑体"/>
          <w:sz w:val="44"/>
          <w:szCs w:val="44"/>
        </w:rPr>
      </w:pPr>
    </w:p>
    <w:p>
      <w:pPr>
        <w:keepNext w:val="0"/>
        <w:keepLines w:val="0"/>
        <w:pageBreakBefore w:val="0"/>
        <w:kinsoku/>
        <w:wordWrap/>
        <w:overflowPunct/>
        <w:topLinePunct w:val="0"/>
        <w:bidi w:val="0"/>
        <w:spacing w:line="560" w:lineRule="exact"/>
        <w:ind w:left="0" w:firstLine="720" w:firstLineChars="200"/>
        <w:jc w:val="both"/>
        <w:textAlignment w:val="auto"/>
        <w:rPr>
          <w:rFonts w:eastAsia="黑体"/>
          <w:sz w:val="36"/>
          <w:szCs w:val="36"/>
        </w:rPr>
      </w:pPr>
      <w:bookmarkStart w:id="0" w:name="_GoBack"/>
      <w:bookmarkEnd w:id="0"/>
    </w:p>
    <w:p>
      <w:pPr>
        <w:keepNext w:val="0"/>
        <w:keepLines w:val="0"/>
        <w:pageBreakBefore w:val="0"/>
        <w:kinsoku/>
        <w:wordWrap/>
        <w:overflowPunct/>
        <w:topLinePunct w:val="0"/>
        <w:bidi w:val="0"/>
        <w:spacing w:line="560" w:lineRule="exact"/>
        <w:ind w:left="0"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left="0"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left="0"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left="0" w:firstLine="640" w:firstLineChars="200"/>
        <w:jc w:val="both"/>
        <w:textAlignment w:val="auto"/>
        <w:rPr>
          <w:rFonts w:hint="eastAsia" w:eastAsia="黑体"/>
          <w:sz w:val="32"/>
          <w:szCs w:val="32"/>
        </w:rPr>
      </w:pPr>
    </w:p>
    <w:p>
      <w:pPr>
        <w:keepNext w:val="0"/>
        <w:keepLines w:val="0"/>
        <w:pageBreakBefore w:val="0"/>
        <w:kinsoku/>
        <w:wordWrap/>
        <w:overflowPunct/>
        <w:topLinePunct w:val="0"/>
        <w:bidi w:val="0"/>
        <w:spacing w:line="560" w:lineRule="exact"/>
        <w:ind w:left="0" w:firstLine="640" w:firstLineChars="200"/>
        <w:jc w:val="both"/>
        <w:textAlignment w:val="auto"/>
        <w:rPr>
          <w:rFonts w:eastAsia="黑体"/>
          <w:sz w:val="32"/>
          <w:szCs w:val="32"/>
        </w:rPr>
      </w:pPr>
    </w:p>
    <w:p>
      <w:pPr>
        <w:keepNext w:val="0"/>
        <w:keepLines w:val="0"/>
        <w:pageBreakBefore w:val="0"/>
        <w:kinsoku/>
        <w:wordWrap/>
        <w:overflowPunct/>
        <w:topLinePunct w:val="0"/>
        <w:bidi w:val="0"/>
        <w:spacing w:line="560" w:lineRule="exact"/>
        <w:ind w:left="0" w:firstLine="640" w:firstLineChars="200"/>
        <w:jc w:val="both"/>
        <w:textAlignment w:val="auto"/>
        <w:rPr>
          <w:rFonts w:eastAsia="黑体"/>
          <w:sz w:val="32"/>
          <w:szCs w:val="32"/>
        </w:rPr>
      </w:pPr>
      <w:r>
        <w:rPr>
          <w:rFonts w:eastAsia="黑体"/>
          <w:sz w:val="32"/>
          <w:szCs w:val="32"/>
        </w:rPr>
        <w:t>一、基本情况</w:t>
      </w:r>
    </w:p>
    <w:p>
      <w:pPr>
        <w:keepNext w:val="0"/>
        <w:keepLines w:val="0"/>
        <w:pageBreakBefore w:val="0"/>
        <w:kinsoku/>
        <w:wordWrap/>
        <w:overflowPunct/>
        <w:topLinePunct w:val="0"/>
        <w:bidi w:val="0"/>
        <w:spacing w:line="560" w:lineRule="exact"/>
        <w:ind w:left="0" w:firstLine="643" w:firstLineChars="200"/>
        <w:jc w:val="both"/>
        <w:textAlignment w:val="auto"/>
        <w:rPr>
          <w:rFonts w:eastAsia="楷体_GB2312"/>
          <w:b/>
          <w:sz w:val="32"/>
          <w:szCs w:val="32"/>
        </w:rPr>
      </w:pPr>
      <w:r>
        <w:rPr>
          <w:rFonts w:eastAsia="楷体_GB2312"/>
          <w:b/>
          <w:sz w:val="32"/>
          <w:szCs w:val="32"/>
        </w:rPr>
        <w:t>（一）</w:t>
      </w:r>
      <w:r>
        <w:rPr>
          <w:rFonts w:hint="eastAsia" w:eastAsia="楷体_GB2312"/>
          <w:b/>
          <w:sz w:val="32"/>
          <w:szCs w:val="32"/>
          <w:lang w:eastAsia="zh-CN"/>
        </w:rPr>
        <w:t>单位</w:t>
      </w:r>
      <w:r>
        <w:rPr>
          <w:rFonts w:eastAsia="楷体_GB2312"/>
          <w:b/>
          <w:sz w:val="32"/>
          <w:szCs w:val="32"/>
        </w:rPr>
        <w:t>基本情况</w:t>
      </w:r>
    </w:p>
    <w:p>
      <w:pPr>
        <w:keepNext w:val="0"/>
        <w:keepLines w:val="0"/>
        <w:pageBreakBefore w:val="0"/>
        <w:kinsoku/>
        <w:wordWrap/>
        <w:overflowPunct/>
        <w:topLinePunct w:val="0"/>
        <w:bidi w:val="0"/>
        <w:snapToGrid w:val="0"/>
        <w:spacing w:line="560" w:lineRule="exact"/>
        <w:ind w:left="0" w:firstLine="643" w:firstLineChars="200"/>
        <w:jc w:val="both"/>
        <w:textAlignment w:val="auto"/>
        <w:rPr>
          <w:rFonts w:ascii="仿宋_GB2312" w:hAnsi="黑体" w:eastAsia="仿宋_GB2312"/>
          <w:b/>
          <w:bCs/>
          <w:sz w:val="32"/>
          <w:szCs w:val="32"/>
        </w:rPr>
      </w:pPr>
      <w:r>
        <w:rPr>
          <w:rFonts w:hint="eastAsia" w:ascii="仿宋_GB2312" w:hAnsi="黑体" w:eastAsia="仿宋_GB2312"/>
          <w:b/>
          <w:bCs/>
          <w:sz w:val="32"/>
          <w:szCs w:val="32"/>
        </w:rPr>
        <w:t>1、主要职能</w:t>
      </w:r>
    </w:p>
    <w:p>
      <w:pPr>
        <w:keepNext w:val="0"/>
        <w:keepLines w:val="0"/>
        <w:pageBreakBefore w:val="0"/>
        <w:kinsoku/>
        <w:wordWrap/>
        <w:overflowPunct/>
        <w:topLinePunct w:val="0"/>
        <w:bidi w:val="0"/>
        <w:snapToGrid w:val="0"/>
        <w:spacing w:line="560" w:lineRule="exact"/>
        <w:ind w:left="0" w:firstLine="640" w:firstLineChars="200"/>
        <w:jc w:val="both"/>
        <w:textAlignment w:val="auto"/>
        <w:rPr>
          <w:rFonts w:ascii="仿宋_GB2312" w:hAnsi="黑体" w:eastAsia="仿宋_GB2312"/>
          <w:sz w:val="32"/>
          <w:szCs w:val="32"/>
        </w:rPr>
      </w:pPr>
      <w:r>
        <w:rPr>
          <w:rFonts w:hint="eastAsia" w:ascii="仿宋_GB2312" w:hAnsi="黑体" w:eastAsia="仿宋_GB2312"/>
          <w:sz w:val="32"/>
          <w:szCs w:val="32"/>
        </w:rPr>
        <w:t>（一）负责市场综合监督管理。（二）负责市场主体统一登记注册和行政许可。（三）负责监督管理市场秩序。（四）负责宏观质量管理。（五）负责产品质量安全监督管理。（六）负责特种设备安全监督管理。（七）负责食品安全监督管理综合协调。（八）负责食品安全监督管理。（九）在法定权限内负责监督实施药品（含中药、民族药，下同）、医疗器械、化妆品标准和分类管理制度。（十）负责权限内药品、医疗器械和化妆品安全监督检查。（十一）负责药品、医疗器械、化妆品上市后风险管理，组织开展药品和化妆品不良反应、医疗器械不良事件的监测管理与风险处置工作。（十二）负责统一管理计量工作。（十三）负责统一管理标准化工作。依据法定职责，对标准的制定进行指导监督，对标准的实施进行监督检查，鼓励企业、社会团体和教育、科研机构等开展或参与标准化工作。（十四）负责统一管理和监督认证认可工作。（十五）负责知识产权保护综合协调工作。（十六）负责组织开展有关消费维权工作，负责消费者咨询、投诉举报受理和处理等工作，保护经营者、消费者合法权益。（十七）负责协助市市场监管局开展市场监管综合行政执法工作，依法查办辖区内市市场监管局委托的违反市场监管法律、法规、规章的相关案件。（十八）完成区委、区人民政府及上级业务主管部门交办的其他任务。</w:t>
      </w:r>
    </w:p>
    <w:p>
      <w:pPr>
        <w:keepNext w:val="0"/>
        <w:keepLines w:val="0"/>
        <w:pageBreakBefore w:val="0"/>
        <w:kinsoku/>
        <w:wordWrap/>
        <w:overflowPunct/>
        <w:topLinePunct w:val="0"/>
        <w:bidi w:val="0"/>
        <w:snapToGrid w:val="0"/>
        <w:spacing w:line="560" w:lineRule="exact"/>
        <w:ind w:left="0" w:firstLine="643" w:firstLineChars="200"/>
        <w:jc w:val="both"/>
        <w:textAlignment w:val="auto"/>
        <w:rPr>
          <w:rFonts w:ascii="仿宋_GB2312" w:hAnsi="黑体" w:eastAsia="仿宋_GB2312"/>
          <w:b/>
          <w:bCs/>
          <w:sz w:val="32"/>
          <w:szCs w:val="32"/>
        </w:rPr>
      </w:pPr>
      <w:r>
        <w:rPr>
          <w:rFonts w:hint="eastAsia" w:ascii="仿宋_GB2312" w:hAnsi="黑体" w:eastAsia="仿宋_GB2312"/>
          <w:b/>
          <w:bCs/>
          <w:sz w:val="32"/>
          <w:szCs w:val="32"/>
        </w:rPr>
        <w:t>2、机构情况</w:t>
      </w:r>
    </w:p>
    <w:p>
      <w:pPr>
        <w:keepNext w:val="0"/>
        <w:keepLines w:val="0"/>
        <w:pageBreakBefore w:val="0"/>
        <w:widowControl/>
        <w:kinsoku/>
        <w:wordWrap/>
        <w:overflowPunct/>
        <w:topLinePunct w:val="0"/>
        <w:bidi w:val="0"/>
        <w:spacing w:line="560" w:lineRule="exact"/>
        <w:ind w:left="0" w:firstLine="640" w:firstLineChars="200"/>
        <w:jc w:val="both"/>
        <w:textAlignment w:val="auto"/>
        <w:rPr>
          <w:rFonts w:ascii="仿宋_GB2312" w:hAnsi="黑体" w:eastAsia="仿宋_GB2312" w:cs="宋体"/>
          <w:color w:val="343434"/>
          <w:kern w:val="3"/>
          <w:sz w:val="32"/>
          <w:szCs w:val="32"/>
        </w:rPr>
      </w:pPr>
      <w:r>
        <w:rPr>
          <w:rFonts w:hint="eastAsia" w:ascii="仿宋_GB2312" w:hAnsi="黑体" w:eastAsia="仿宋_GB2312" w:cs="宋体"/>
          <w:color w:val="343434"/>
          <w:kern w:val="3"/>
          <w:sz w:val="32"/>
          <w:szCs w:val="32"/>
        </w:rPr>
        <w:t>我局共有独立编制机构1个，其中：行政机构1个。独立核算单位1个。本年度参加决算单位1个。</w:t>
      </w:r>
    </w:p>
    <w:p>
      <w:pPr>
        <w:keepNext w:val="0"/>
        <w:keepLines w:val="0"/>
        <w:pageBreakBefore w:val="0"/>
        <w:kinsoku/>
        <w:wordWrap/>
        <w:overflowPunct/>
        <w:topLinePunct w:val="0"/>
        <w:bidi w:val="0"/>
        <w:snapToGrid w:val="0"/>
        <w:spacing w:line="560" w:lineRule="exact"/>
        <w:ind w:left="0" w:firstLine="643" w:firstLineChars="200"/>
        <w:jc w:val="both"/>
        <w:textAlignment w:val="auto"/>
        <w:rPr>
          <w:rFonts w:ascii="仿宋_GB2312" w:hAnsi="黑体" w:eastAsia="仿宋_GB2312"/>
          <w:b/>
          <w:bCs/>
          <w:sz w:val="32"/>
          <w:szCs w:val="32"/>
        </w:rPr>
      </w:pPr>
      <w:r>
        <w:rPr>
          <w:rFonts w:hint="eastAsia" w:ascii="仿宋_GB2312" w:hAnsi="黑体" w:eastAsia="仿宋_GB2312"/>
          <w:b/>
          <w:bCs/>
          <w:sz w:val="32"/>
          <w:szCs w:val="32"/>
        </w:rPr>
        <w:t>3、人员情况</w:t>
      </w:r>
    </w:p>
    <w:p>
      <w:pPr>
        <w:keepNext w:val="0"/>
        <w:keepLines w:val="0"/>
        <w:pageBreakBefore w:val="0"/>
        <w:kinsoku/>
        <w:wordWrap/>
        <w:overflowPunct/>
        <w:topLinePunct w:val="0"/>
        <w:bidi w:val="0"/>
        <w:snapToGrid w:val="0"/>
        <w:spacing w:line="560" w:lineRule="exact"/>
        <w:ind w:left="0" w:firstLine="640" w:firstLineChars="200"/>
        <w:jc w:val="both"/>
        <w:textAlignment w:val="auto"/>
        <w:rPr>
          <w:rFonts w:hint="eastAsia"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sz w:val="32"/>
          <w:szCs w:val="32"/>
        </w:rPr>
        <w:t>2021年度决算实有人数为103人。2021年年初我局在职人数108人，退休4人；2021年底在职人数103人，退休3人，调出1人，死亡1人。</w:t>
      </w:r>
    </w:p>
    <w:p>
      <w:pPr>
        <w:keepNext w:val="0"/>
        <w:keepLines w:val="0"/>
        <w:pageBreakBefore w:val="0"/>
        <w:numPr>
          <w:ilvl w:val="0"/>
          <w:numId w:val="1"/>
        </w:numPr>
        <w:kinsoku/>
        <w:wordWrap/>
        <w:overflowPunct/>
        <w:topLinePunct w:val="0"/>
        <w:bidi w:val="0"/>
        <w:spacing w:line="560" w:lineRule="exact"/>
        <w:ind w:left="0" w:firstLine="643" w:firstLineChars="200"/>
        <w:jc w:val="both"/>
        <w:textAlignment w:val="auto"/>
        <w:rPr>
          <w:rFonts w:eastAsia="楷体_GB2312"/>
          <w:b/>
          <w:sz w:val="32"/>
          <w:szCs w:val="32"/>
        </w:rPr>
      </w:pPr>
      <w:r>
        <w:rPr>
          <w:rFonts w:eastAsia="楷体_GB2312"/>
          <w:b/>
          <w:sz w:val="32"/>
          <w:szCs w:val="32"/>
        </w:rPr>
        <w:t>绩效目标</w:t>
      </w:r>
    </w:p>
    <w:p>
      <w:pPr>
        <w:keepNext w:val="0"/>
        <w:keepLines w:val="0"/>
        <w:pageBreakBefore w:val="0"/>
        <w:numPr>
          <w:ilvl w:val="0"/>
          <w:numId w:val="2"/>
        </w:numPr>
        <w:kinsoku/>
        <w:wordWrap/>
        <w:overflowPunct/>
        <w:topLinePunct w:val="0"/>
        <w:bidi w:val="0"/>
        <w:snapToGrid w:val="0"/>
        <w:spacing w:line="560" w:lineRule="exact"/>
        <w:ind w:left="0" w:firstLine="640" w:firstLineChars="200"/>
        <w:jc w:val="both"/>
        <w:textAlignment w:val="auto"/>
        <w:rPr>
          <w:rFonts w:hint="eastAsia" w:ascii="仿宋_GB2312" w:hAnsi="黑体" w:eastAsia="仿宋_GB2312" w:cs="仿宋"/>
          <w:color w:val="000000" w:themeColor="text1"/>
          <w:sz w:val="32"/>
          <w:szCs w:val="32"/>
          <w:lang w:eastAsia="zh-CN"/>
          <w14:textFill>
            <w14:solidFill>
              <w14:schemeClr w14:val="tx1"/>
            </w14:solidFill>
          </w14:textFill>
        </w:rPr>
      </w:pPr>
      <w:r>
        <w:rPr>
          <w:rFonts w:hint="eastAsia" w:ascii="仿宋_GB2312" w:hAnsi="黑体" w:eastAsia="仿宋_GB2312"/>
          <w:sz w:val="32"/>
          <w:szCs w:val="32"/>
          <w:lang w:eastAsia="zh-CN"/>
        </w:rPr>
        <w:t>本单位</w:t>
      </w:r>
      <w:r>
        <w:rPr>
          <w:rFonts w:hint="eastAsia" w:ascii="仿宋_GB2312" w:hAnsi="黑体" w:eastAsia="仿宋_GB2312"/>
          <w:sz w:val="32"/>
          <w:szCs w:val="32"/>
        </w:rPr>
        <w:t>年度整体支出</w:t>
      </w:r>
      <w:r>
        <w:rPr>
          <w:rFonts w:hint="eastAsia" w:ascii="仿宋_GB2312" w:hAnsi="黑体" w:eastAsia="仿宋_GB2312"/>
          <w:sz w:val="32"/>
          <w:szCs w:val="32"/>
          <w:lang w:eastAsia="zh-CN"/>
        </w:rPr>
        <w:t>绩效目标为进行好市场综合监督管理工作、市场主体统一登记注册和行政许可工作，负责特种设备安全监督管理、综合协调食品安全监督管理、组织开展药品和化妆品不良反应、医疗器械不良事件的监测管理与风险处置工作、综合协调知识产权保护工作、组织开展有关消费维权工作，保护经营者、消费者合法权益。</w:t>
      </w:r>
    </w:p>
    <w:p>
      <w:pPr>
        <w:keepNext w:val="0"/>
        <w:keepLines w:val="0"/>
        <w:pageBreakBefore w:val="0"/>
        <w:numPr>
          <w:ilvl w:val="0"/>
          <w:numId w:val="2"/>
        </w:numPr>
        <w:kinsoku/>
        <w:wordWrap/>
        <w:overflowPunct/>
        <w:topLinePunct w:val="0"/>
        <w:bidi w:val="0"/>
        <w:snapToGrid w:val="0"/>
        <w:spacing w:line="560" w:lineRule="exact"/>
        <w:ind w:left="0" w:firstLine="640" w:firstLineChars="200"/>
        <w:jc w:val="both"/>
        <w:textAlignment w:val="auto"/>
        <w:rPr>
          <w:rFonts w:hint="eastAsia" w:ascii="仿宋_GB2312" w:hAnsi="黑体" w:eastAsia="仿宋_GB2312" w:cs="仿宋"/>
          <w:color w:val="000000" w:themeColor="text1"/>
          <w:sz w:val="32"/>
          <w:szCs w:val="32"/>
          <w14:textFill>
            <w14:solidFill>
              <w14:schemeClr w14:val="tx1"/>
            </w14:solidFill>
          </w14:textFill>
        </w:rPr>
      </w:pPr>
      <w:r>
        <w:rPr>
          <w:rFonts w:hint="eastAsia" w:ascii="仿宋_GB2312" w:hAnsi="黑体" w:eastAsia="仿宋_GB2312" w:cs="仿宋"/>
          <w:color w:val="000000" w:themeColor="text1"/>
          <w:sz w:val="32"/>
          <w:szCs w:val="32"/>
          <w:lang w:eastAsia="zh-CN"/>
          <w14:textFill>
            <w14:solidFill>
              <w14:schemeClr w14:val="tx1"/>
            </w14:solidFill>
          </w14:textFill>
        </w:rPr>
        <w:t>本单位</w:t>
      </w:r>
      <w:r>
        <w:rPr>
          <w:rFonts w:hint="eastAsia" w:ascii="仿宋_GB2312" w:hAnsi="黑体" w:eastAsia="仿宋_GB2312" w:cs="仿宋"/>
          <w:color w:val="000000" w:themeColor="text1"/>
          <w:sz w:val="32"/>
          <w:szCs w:val="32"/>
          <w14:textFill>
            <w14:solidFill>
              <w14:schemeClr w14:val="tx1"/>
            </w14:solidFill>
          </w14:textFill>
        </w:rPr>
        <w:t>专项资金绩效目标</w:t>
      </w:r>
      <w:r>
        <w:rPr>
          <w:rFonts w:hint="eastAsia" w:ascii="仿宋_GB2312" w:hAnsi="黑体" w:eastAsia="仿宋_GB2312" w:cs="仿宋"/>
          <w:color w:val="000000" w:themeColor="text1"/>
          <w:sz w:val="32"/>
          <w:szCs w:val="32"/>
          <w:lang w:eastAsia="zh-CN"/>
          <w14:textFill>
            <w14:solidFill>
              <w14:schemeClr w14:val="tx1"/>
            </w14:solidFill>
          </w14:textFill>
        </w:rPr>
        <w:t>为保障芦淞区市场监督管理局院外独立办公场地的正常办公开支及单位工作人员的工作用餐费用。优化营商环境；净化市场环境；保障市场安全；推动产业发展。负责食品安全监督管理综合协调、食品安全监督管理；组织开展本级食品安全抽样检验工作；负责权限内药品、医疗器械和化妆品安全监督检查。</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pPr>
        <w:pStyle w:val="5"/>
        <w:keepNext w:val="0"/>
        <w:keepLines w:val="0"/>
        <w:pageBreakBefore w:val="0"/>
        <w:kinsoku/>
        <w:wordWrap/>
        <w:overflowPunct/>
        <w:topLinePunct w:val="0"/>
        <w:bidi w:val="0"/>
        <w:spacing w:line="560" w:lineRule="exact"/>
        <w:ind w:left="0" w:firstLine="643" w:firstLineChars="200"/>
        <w:jc w:val="both"/>
        <w:textAlignment w:val="auto"/>
        <w:rPr>
          <w:rFonts w:ascii="Times New Roman" w:hAnsi="Times New Roman" w:eastAsia="楷体_GB2312"/>
          <w:b/>
          <w:sz w:val="32"/>
          <w:szCs w:val="32"/>
        </w:rPr>
      </w:pPr>
      <w:r>
        <w:rPr>
          <w:rFonts w:ascii="Times New Roman" w:hAnsi="Times New Roman" w:eastAsia="楷体_GB2312"/>
          <w:b/>
          <w:sz w:val="32"/>
          <w:szCs w:val="32"/>
        </w:rPr>
        <w:t>（一）基本支出情况</w:t>
      </w:r>
    </w:p>
    <w:p>
      <w:pPr>
        <w:pStyle w:val="6"/>
        <w:keepNext w:val="0"/>
        <w:keepLines w:val="0"/>
        <w:pageBreakBefore w:val="0"/>
        <w:kinsoku/>
        <w:wordWrap/>
        <w:overflowPunct/>
        <w:topLinePunct w:val="0"/>
        <w:bidi w:val="0"/>
        <w:spacing w:line="560" w:lineRule="exact"/>
        <w:ind w:left="0" w:firstLine="643" w:firstLineChars="200"/>
        <w:jc w:val="both"/>
        <w:textAlignment w:val="auto"/>
        <w:rPr>
          <w:rFonts w:hint="eastAsia" w:ascii="仿宋_GB2312" w:hAnsi="黑体" w:eastAsia="仿宋_GB2312" w:cs="Times New Roman"/>
          <w:b/>
          <w:bCs/>
          <w:color w:val="auto"/>
          <w:kern w:val="2"/>
          <w:sz w:val="32"/>
          <w:szCs w:val="32"/>
          <w:lang w:val="en-US" w:eastAsia="zh-CN" w:bidi="ar-SA"/>
        </w:rPr>
      </w:pPr>
      <w:r>
        <w:rPr>
          <w:rFonts w:hint="eastAsia" w:ascii="仿宋_GB2312" w:hAnsi="黑体" w:eastAsia="仿宋_GB2312" w:cs="Times New Roman"/>
          <w:b/>
          <w:bCs/>
          <w:color w:val="auto"/>
          <w:kern w:val="2"/>
          <w:sz w:val="32"/>
          <w:szCs w:val="32"/>
          <w:lang w:val="en-US" w:eastAsia="zh-CN" w:bidi="ar-SA"/>
        </w:rPr>
        <w:t>1、2021年预算资金</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我单位2021年收入预算为2005.98万元，支出预算数为2005.98万元。年度执行中收入预算调整数为1998.90万元，支出预算调整数为1998.90万元。</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2、2021年度单位一般公共预算财政拨款收入1998.90万元。</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3、2021年度单位一般公共预算财政拨款支出1998.90万元。其中：项目支出521.10万元，基本支出1477.80万元，其中：人员经费1294.96万元，公用经费182.84万元。</w:t>
      </w:r>
    </w:p>
    <w:p>
      <w:pPr>
        <w:pStyle w:val="5"/>
        <w:keepNext w:val="0"/>
        <w:keepLines w:val="0"/>
        <w:pageBreakBefore w:val="0"/>
        <w:kinsoku/>
        <w:wordWrap/>
        <w:overflowPunct/>
        <w:topLinePunct w:val="0"/>
        <w:bidi w:val="0"/>
        <w:spacing w:line="560" w:lineRule="exact"/>
        <w:ind w:left="0" w:firstLine="643" w:firstLineChars="200"/>
        <w:jc w:val="both"/>
        <w:textAlignment w:val="auto"/>
        <w:rPr>
          <w:rFonts w:ascii="Times New Roman" w:hAnsi="Times New Roman" w:eastAsia="楷体_GB2312"/>
          <w:b/>
          <w:sz w:val="32"/>
          <w:szCs w:val="32"/>
        </w:rPr>
      </w:pPr>
      <w:r>
        <w:rPr>
          <w:rFonts w:hint="eastAsia" w:ascii="Times New Roman" w:hAnsi="Times New Roman" w:eastAsia="楷体_GB2312"/>
          <w:b/>
          <w:sz w:val="32"/>
          <w:szCs w:val="32"/>
          <w:lang w:eastAsia="zh-CN"/>
        </w:rPr>
        <w:t>（二）</w:t>
      </w:r>
      <w:r>
        <w:rPr>
          <w:rFonts w:ascii="Times New Roman" w:hAnsi="Times New Roman" w:eastAsia="楷体_GB2312"/>
          <w:b/>
          <w:sz w:val="32"/>
          <w:szCs w:val="32"/>
        </w:rPr>
        <w:t>项目支出情况</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eastAsia" w:ascii="Times New Roman" w:hAnsi="Times New Roman" w:eastAsia="仿宋"/>
          <w:sz w:val="32"/>
          <w:szCs w:val="32"/>
        </w:rPr>
      </w:pPr>
      <w:r>
        <w:rPr>
          <w:rFonts w:hint="eastAsia" w:ascii="Times New Roman" w:hAnsi="Times New Roman" w:eastAsia="仿宋"/>
          <w:sz w:val="32"/>
          <w:szCs w:val="32"/>
        </w:rPr>
        <w:t>1、其他政府办公厅（室）及相关机构事务支出项目支出</w:t>
      </w:r>
      <w:r>
        <w:rPr>
          <w:rFonts w:hint="eastAsia" w:ascii="Times New Roman" w:hAnsi="Times New Roman" w:eastAsia="仿宋"/>
          <w:sz w:val="32"/>
          <w:szCs w:val="32"/>
          <w:lang w:val="en-US" w:eastAsia="zh-CN"/>
        </w:rPr>
        <w:t>23.95</w:t>
      </w:r>
      <w:r>
        <w:rPr>
          <w:rFonts w:hint="eastAsia" w:ascii="Times New Roman" w:hAnsi="Times New Roman" w:eastAsia="仿宋"/>
          <w:sz w:val="32"/>
          <w:szCs w:val="32"/>
        </w:rPr>
        <w:t>万元；</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rPr>
        <w:t>2、专项统计业务项目支出</w:t>
      </w:r>
      <w:r>
        <w:rPr>
          <w:rFonts w:hint="eastAsia" w:ascii="Times New Roman" w:hAnsi="Times New Roman" w:eastAsia="仿宋"/>
          <w:sz w:val="32"/>
          <w:szCs w:val="32"/>
          <w:lang w:val="en-US" w:eastAsia="zh-CN"/>
        </w:rPr>
        <w:t>4.95</w:t>
      </w:r>
      <w:r>
        <w:rPr>
          <w:rFonts w:hint="eastAsia" w:ascii="Times New Roman" w:hAnsi="Times New Roman" w:eastAsia="仿宋"/>
          <w:sz w:val="32"/>
          <w:szCs w:val="32"/>
        </w:rPr>
        <w:t>万元</w:t>
      </w:r>
      <w:r>
        <w:rPr>
          <w:rFonts w:hint="eastAsia" w:ascii="Times New Roman" w:hAnsi="Times New Roman" w:eastAsia="仿宋"/>
          <w:sz w:val="32"/>
          <w:szCs w:val="32"/>
          <w:lang w:eastAsia="zh-CN"/>
        </w:rPr>
        <w:t>；</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rPr>
        <w:t>3、机关服务项目支出235.76万元</w:t>
      </w:r>
      <w:r>
        <w:rPr>
          <w:rFonts w:hint="eastAsia" w:ascii="Times New Roman" w:hAnsi="Times New Roman" w:eastAsia="仿宋"/>
          <w:sz w:val="32"/>
          <w:szCs w:val="32"/>
          <w:lang w:eastAsia="zh-CN"/>
        </w:rPr>
        <w:t>；</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lang w:val="en-US" w:eastAsia="zh-CN"/>
        </w:rPr>
        <w:t>4</w:t>
      </w:r>
      <w:r>
        <w:rPr>
          <w:rFonts w:hint="eastAsia" w:ascii="Times New Roman" w:hAnsi="Times New Roman" w:eastAsia="仿宋"/>
          <w:sz w:val="32"/>
          <w:szCs w:val="32"/>
        </w:rPr>
        <w:t>、药品事务项目支出</w:t>
      </w:r>
      <w:r>
        <w:rPr>
          <w:rFonts w:hint="eastAsia" w:ascii="Times New Roman" w:hAnsi="Times New Roman" w:eastAsia="仿宋"/>
          <w:sz w:val="32"/>
          <w:szCs w:val="32"/>
          <w:lang w:val="en-US" w:eastAsia="zh-CN"/>
        </w:rPr>
        <w:t>2</w:t>
      </w:r>
      <w:r>
        <w:rPr>
          <w:rFonts w:hint="eastAsia" w:ascii="Times New Roman" w:hAnsi="Times New Roman" w:eastAsia="仿宋"/>
          <w:sz w:val="32"/>
          <w:szCs w:val="32"/>
        </w:rPr>
        <w:t>万元</w:t>
      </w:r>
      <w:r>
        <w:rPr>
          <w:rFonts w:hint="eastAsia" w:ascii="Times New Roman" w:hAnsi="Times New Roman" w:eastAsia="仿宋"/>
          <w:sz w:val="32"/>
          <w:szCs w:val="32"/>
          <w:lang w:eastAsia="zh-CN"/>
        </w:rPr>
        <w:t>；</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lang w:val="en-US" w:eastAsia="zh-CN"/>
        </w:rPr>
        <w:t>5</w:t>
      </w:r>
      <w:r>
        <w:rPr>
          <w:rFonts w:hint="eastAsia" w:ascii="Times New Roman" w:hAnsi="Times New Roman" w:eastAsia="仿宋"/>
          <w:sz w:val="32"/>
          <w:szCs w:val="32"/>
        </w:rPr>
        <w:t>、食品安全监管项目支出</w:t>
      </w:r>
      <w:r>
        <w:rPr>
          <w:rFonts w:hint="eastAsia" w:ascii="Times New Roman" w:hAnsi="Times New Roman" w:eastAsia="仿宋"/>
          <w:sz w:val="32"/>
          <w:szCs w:val="32"/>
          <w:lang w:val="en-US" w:eastAsia="zh-CN"/>
        </w:rPr>
        <w:t>47.05</w:t>
      </w:r>
      <w:r>
        <w:rPr>
          <w:rFonts w:hint="eastAsia" w:ascii="Times New Roman" w:hAnsi="Times New Roman" w:eastAsia="仿宋"/>
          <w:sz w:val="32"/>
          <w:szCs w:val="32"/>
        </w:rPr>
        <w:t>万元</w:t>
      </w:r>
      <w:r>
        <w:rPr>
          <w:rFonts w:hint="eastAsia" w:ascii="Times New Roman" w:hAnsi="Times New Roman" w:eastAsia="仿宋"/>
          <w:sz w:val="32"/>
          <w:szCs w:val="32"/>
          <w:lang w:eastAsia="zh-CN"/>
        </w:rPr>
        <w:t>；</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ascii="Times New Roman" w:hAnsi="Times New Roman" w:eastAsia="仿宋"/>
          <w:sz w:val="32"/>
          <w:szCs w:val="32"/>
        </w:rPr>
      </w:pP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、其他市场监督管理事务项目支出</w:t>
      </w:r>
      <w:r>
        <w:rPr>
          <w:rFonts w:hint="eastAsia" w:ascii="Times New Roman" w:hAnsi="Times New Roman" w:eastAsia="仿宋"/>
          <w:sz w:val="32"/>
          <w:szCs w:val="32"/>
          <w:lang w:val="en-US" w:eastAsia="zh-CN"/>
        </w:rPr>
        <w:t>207.39</w:t>
      </w:r>
      <w:r>
        <w:rPr>
          <w:rFonts w:hint="eastAsia" w:ascii="Times New Roman" w:hAnsi="Times New Roman" w:eastAsia="仿宋"/>
          <w:sz w:val="32"/>
          <w:szCs w:val="32"/>
        </w:rPr>
        <w:t>万元。</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三、政府性基金预算支出</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lang w:eastAsia="zh-CN"/>
        </w:rPr>
        <w:t>无。</w:t>
      </w:r>
    </w:p>
    <w:p>
      <w:pPr>
        <w:pStyle w:val="5"/>
        <w:keepNext w:val="0"/>
        <w:keepLines w:val="0"/>
        <w:pageBreakBefore w:val="0"/>
        <w:numPr>
          <w:ilvl w:val="0"/>
          <w:numId w:val="3"/>
        </w:numPr>
        <w:kinsoku/>
        <w:wordWrap/>
        <w:overflowPunct/>
        <w:topLinePunct w:val="0"/>
        <w:bidi w:val="0"/>
        <w:spacing w:line="560" w:lineRule="exact"/>
        <w:ind w:left="0" w:firstLine="640" w:firstLineChars="200"/>
        <w:jc w:val="both"/>
        <w:textAlignment w:val="auto"/>
        <w:rPr>
          <w:rFonts w:hint="eastAsia" w:ascii="Times New Roman" w:hAnsi="Times New Roman" w:eastAsia="黑体"/>
          <w:sz w:val="32"/>
          <w:szCs w:val="32"/>
          <w:lang w:eastAsia="zh-CN"/>
        </w:rPr>
      </w:pPr>
      <w:r>
        <w:rPr>
          <w:rFonts w:ascii="Times New Roman" w:hAnsi="Times New Roman" w:eastAsia="黑体"/>
          <w:sz w:val="32"/>
          <w:szCs w:val="32"/>
        </w:rPr>
        <w:t>国有资本经营预算支出</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lang w:eastAsia="zh-CN"/>
        </w:rPr>
        <w:t>无。</w:t>
      </w:r>
    </w:p>
    <w:p>
      <w:pPr>
        <w:pStyle w:val="5"/>
        <w:keepNext w:val="0"/>
        <w:keepLines w:val="0"/>
        <w:pageBreakBefore w:val="0"/>
        <w:numPr>
          <w:ilvl w:val="0"/>
          <w:numId w:val="3"/>
        </w:numPr>
        <w:kinsoku/>
        <w:wordWrap/>
        <w:overflowPunct/>
        <w:topLinePunct w:val="0"/>
        <w:bidi w:val="0"/>
        <w:spacing w:line="560" w:lineRule="exact"/>
        <w:ind w:left="0" w:leftChars="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社会保险基金预算支出</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eastAsia" w:ascii="Times New Roman" w:hAnsi="Times New Roman" w:eastAsia="仿宋"/>
          <w:sz w:val="32"/>
          <w:szCs w:val="32"/>
          <w:lang w:eastAsia="zh-CN"/>
        </w:rPr>
      </w:pPr>
      <w:r>
        <w:rPr>
          <w:rFonts w:hint="eastAsia" w:ascii="Times New Roman" w:hAnsi="Times New Roman" w:eastAsia="仿宋"/>
          <w:sz w:val="32"/>
          <w:szCs w:val="32"/>
          <w:lang w:eastAsia="zh-CN"/>
        </w:rPr>
        <w:t>无。</w:t>
      </w:r>
    </w:p>
    <w:p>
      <w:pPr>
        <w:keepNext w:val="0"/>
        <w:keepLines w:val="0"/>
        <w:pageBreakBefore w:val="0"/>
        <w:kinsoku/>
        <w:wordWrap/>
        <w:overflowPunct/>
        <w:topLinePunct w:val="0"/>
        <w:bidi w:val="0"/>
        <w:spacing w:line="560" w:lineRule="exact"/>
        <w:ind w:left="0" w:firstLine="640" w:firstLineChars="200"/>
        <w:jc w:val="both"/>
        <w:textAlignment w:val="auto"/>
        <w:rPr>
          <w:rFonts w:eastAsia="黑体"/>
          <w:sz w:val="32"/>
          <w:szCs w:val="32"/>
        </w:rPr>
      </w:pPr>
      <w:r>
        <w:rPr>
          <w:rFonts w:eastAsia="黑体"/>
          <w:sz w:val="32"/>
          <w:szCs w:val="32"/>
        </w:rPr>
        <w:t>六、</w:t>
      </w:r>
      <w:r>
        <w:rPr>
          <w:rFonts w:hint="eastAsia" w:eastAsia="黑体"/>
          <w:sz w:val="32"/>
          <w:szCs w:val="32"/>
        </w:rPr>
        <w:t>资金使用及</w:t>
      </w:r>
      <w:r>
        <w:rPr>
          <w:rFonts w:eastAsia="黑体"/>
          <w:sz w:val="32"/>
          <w:szCs w:val="32"/>
        </w:rPr>
        <w:t>绩效情况</w:t>
      </w:r>
    </w:p>
    <w:p>
      <w:pPr>
        <w:keepNext w:val="0"/>
        <w:keepLines w:val="0"/>
        <w:pageBreakBefore w:val="0"/>
        <w:kinsoku/>
        <w:wordWrap/>
        <w:overflowPunct/>
        <w:topLinePunct w:val="0"/>
        <w:bidi w:val="0"/>
        <w:spacing w:line="560" w:lineRule="exact"/>
        <w:ind w:left="0" w:firstLine="643" w:firstLineChars="200"/>
        <w:jc w:val="both"/>
        <w:textAlignment w:val="auto"/>
        <w:rPr>
          <w:rFonts w:eastAsia="楷体_GB2312"/>
          <w:b/>
          <w:sz w:val="32"/>
          <w:szCs w:val="32"/>
        </w:rPr>
      </w:pPr>
      <w:r>
        <w:rPr>
          <w:rFonts w:hint="eastAsia" w:eastAsia="楷体_GB2312"/>
          <w:b/>
          <w:sz w:val="32"/>
          <w:szCs w:val="32"/>
        </w:rPr>
        <w:t>(一）部门整体支出绩效情况</w:t>
      </w:r>
    </w:p>
    <w:p>
      <w:pPr>
        <w:keepNext w:val="0"/>
        <w:keepLines w:val="0"/>
        <w:pageBreakBefore w:val="0"/>
        <w:kinsoku/>
        <w:wordWrap/>
        <w:overflowPunct/>
        <w:topLinePunct w:val="0"/>
        <w:bidi w:val="0"/>
        <w:spacing w:line="560" w:lineRule="exact"/>
        <w:ind w:left="0" w:firstLine="640" w:firstLineChars="200"/>
        <w:jc w:val="both"/>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本单位“四本预算”支出的绩效目标完成情况较为理想，达到了年初设定的各项绩效目标。以市场综合监督管理、市场主体统一登记注册和行政许可、产品质量安全监督管理、特种设备安全监督管理、食品药品安全监督管理、知识产权保护综合协调、消费者维权等部门职责为出发点，以严格按制度执行预算资金管理为主线开展业务，实现了如下效果：</w:t>
      </w:r>
    </w:p>
    <w:p>
      <w:pPr>
        <w:pStyle w:val="5"/>
        <w:keepNext w:val="0"/>
        <w:keepLines w:val="0"/>
        <w:pageBreakBefore w:val="0"/>
        <w:kinsoku/>
        <w:wordWrap/>
        <w:overflowPunct/>
        <w:topLinePunct w:val="0"/>
        <w:bidi w:val="0"/>
        <w:spacing w:line="560" w:lineRule="exact"/>
        <w:ind w:left="0" w:firstLine="643" w:firstLineChars="200"/>
        <w:jc w:val="both"/>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b/>
          <w:bCs/>
          <w:kern w:val="2"/>
          <w:sz w:val="32"/>
          <w:szCs w:val="32"/>
          <w:lang w:val="en-US" w:eastAsia="zh-CN" w:bidi="ar-SA"/>
        </w:rPr>
        <w:t>1、运行成本。</w:t>
      </w:r>
      <w:r>
        <w:rPr>
          <w:rFonts w:hint="eastAsia" w:ascii="仿宋_GB2312" w:hAnsi="黑体" w:eastAsia="仿宋_GB2312" w:cs="Times New Roman"/>
          <w:kern w:val="2"/>
          <w:sz w:val="32"/>
          <w:szCs w:val="32"/>
          <w:lang w:val="en-US" w:eastAsia="zh-CN" w:bidi="ar-SA"/>
        </w:rPr>
        <w:t>2021年度单位一般公共预算财政拨款支出1998.90万元。其中：项目支出521.10万元，基本支出1477.80万元，其中：人员经费1294.96万元，公用经费182.84万元保证了人员的基本支出及办理业务所需的必备开支。</w:t>
      </w:r>
    </w:p>
    <w:p>
      <w:pPr>
        <w:keepNext w:val="0"/>
        <w:keepLines w:val="0"/>
        <w:pageBreakBefore w:val="0"/>
        <w:numPr>
          <w:ilvl w:val="0"/>
          <w:numId w:val="0"/>
        </w:numPr>
        <w:kinsoku/>
        <w:wordWrap/>
        <w:overflowPunct/>
        <w:topLinePunct w:val="0"/>
        <w:bidi w:val="0"/>
        <w:spacing w:line="560" w:lineRule="exact"/>
        <w:ind w:left="0" w:firstLine="643" w:firstLineChars="200"/>
        <w:jc w:val="both"/>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b/>
          <w:bCs/>
          <w:kern w:val="2"/>
          <w:sz w:val="32"/>
          <w:szCs w:val="32"/>
          <w:lang w:val="en-US" w:eastAsia="zh-CN" w:bidi="ar-SA"/>
        </w:rPr>
        <w:t>2、管理效率。</w:t>
      </w:r>
      <w:r>
        <w:rPr>
          <w:rFonts w:hint="eastAsia" w:ascii="仿宋_GB2312" w:hAnsi="黑体" w:eastAsia="仿宋_GB2312" w:cs="Times New Roman"/>
          <w:kern w:val="2"/>
          <w:sz w:val="32"/>
          <w:szCs w:val="32"/>
          <w:lang w:val="en-US" w:eastAsia="zh-CN" w:bidi="ar-SA"/>
        </w:rPr>
        <w:t>所有资金使用严格按审批程序办理、操作规范，会计核算结果真实、准确，各项支出严格按照各项制度执行。</w:t>
      </w:r>
    </w:p>
    <w:p>
      <w:pPr>
        <w:keepNext w:val="0"/>
        <w:keepLines w:val="0"/>
        <w:pageBreakBefore w:val="0"/>
        <w:numPr>
          <w:ilvl w:val="0"/>
          <w:numId w:val="0"/>
        </w:numPr>
        <w:kinsoku/>
        <w:wordWrap/>
        <w:overflowPunct/>
        <w:topLinePunct w:val="0"/>
        <w:bidi w:val="0"/>
        <w:spacing w:line="560" w:lineRule="exact"/>
        <w:ind w:left="0" w:firstLine="643" w:firstLineChars="200"/>
        <w:jc w:val="both"/>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b/>
          <w:bCs/>
          <w:kern w:val="2"/>
          <w:sz w:val="32"/>
          <w:szCs w:val="32"/>
          <w:lang w:val="en-US" w:eastAsia="zh-CN" w:bidi="ar-SA"/>
        </w:rPr>
        <w:t>3、履职效能。</w:t>
      </w:r>
      <w:r>
        <w:rPr>
          <w:rFonts w:hint="eastAsia" w:ascii="仿宋_GB2312" w:hAnsi="黑体" w:eastAsia="仿宋_GB2312" w:cs="Times New Roman"/>
          <w:kern w:val="2"/>
          <w:sz w:val="32"/>
          <w:szCs w:val="32"/>
          <w:lang w:val="en-US" w:eastAsia="zh-CN" w:bidi="ar-SA"/>
        </w:rPr>
        <w:t>全程电子化登记设立比例≧90%，消费者纠纷调解率100%，宣传工作完成率100%，广告违法率逐步降低，知识产权案件办结率100%，食用农产品抽检完成率100%，检测不合格食用农产品处理率100%，违法行为查处率100%，食品流通行业人员培训覆盖率100%，宣传、培训完成率100%，组织开展食品安全及药品零售企业监管检查≥80%，宣传资料印制品验收合格率100%。</w:t>
      </w:r>
    </w:p>
    <w:p>
      <w:pPr>
        <w:keepNext w:val="0"/>
        <w:keepLines w:val="0"/>
        <w:pageBreakBefore w:val="0"/>
        <w:numPr>
          <w:ilvl w:val="0"/>
          <w:numId w:val="0"/>
        </w:numPr>
        <w:kinsoku/>
        <w:wordWrap/>
        <w:overflowPunct/>
        <w:topLinePunct w:val="0"/>
        <w:bidi w:val="0"/>
        <w:spacing w:line="560" w:lineRule="exact"/>
        <w:ind w:left="0" w:firstLine="643" w:firstLineChars="200"/>
        <w:jc w:val="both"/>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b/>
          <w:bCs/>
          <w:kern w:val="2"/>
          <w:sz w:val="32"/>
          <w:szCs w:val="32"/>
          <w:lang w:val="en-US" w:eastAsia="zh-CN" w:bidi="ar-SA"/>
        </w:rPr>
        <w:t>4、社会效应。</w:t>
      </w:r>
      <w:r>
        <w:rPr>
          <w:rFonts w:hint="eastAsia" w:ascii="仿宋_GB2312" w:hAnsi="黑体" w:eastAsia="仿宋_GB2312" w:cs="Times New Roman"/>
          <w:kern w:val="2"/>
          <w:sz w:val="32"/>
          <w:szCs w:val="32"/>
          <w:lang w:val="en-US" w:eastAsia="zh-CN" w:bidi="ar-SA"/>
        </w:rPr>
        <w:t>营造了宽松的市场准入环境，构建了群众、企业等市场主体懂法、守法的良好市场秩序，重特大食品安全事故0起，不合格食品、药品、化妆品、保健品、产商品等在市场上的流通100%杜绝，构建食品安全的消费环境，食用农产品质量安全水平稳步提升。</w:t>
      </w:r>
    </w:p>
    <w:p>
      <w:pPr>
        <w:keepNext w:val="0"/>
        <w:keepLines w:val="0"/>
        <w:pageBreakBefore w:val="0"/>
        <w:numPr>
          <w:ilvl w:val="0"/>
          <w:numId w:val="0"/>
        </w:numPr>
        <w:kinsoku/>
        <w:wordWrap/>
        <w:overflowPunct/>
        <w:topLinePunct w:val="0"/>
        <w:bidi w:val="0"/>
        <w:spacing w:line="560" w:lineRule="exact"/>
        <w:ind w:left="0" w:firstLine="643" w:firstLineChars="200"/>
        <w:jc w:val="both"/>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b/>
          <w:bCs/>
          <w:kern w:val="2"/>
          <w:sz w:val="32"/>
          <w:szCs w:val="32"/>
          <w:lang w:val="en-US" w:eastAsia="zh-CN" w:bidi="ar-SA"/>
        </w:rPr>
        <w:t>5、可持续发展能力。</w:t>
      </w:r>
      <w:r>
        <w:rPr>
          <w:rFonts w:hint="eastAsia" w:ascii="仿宋_GB2312" w:hAnsi="黑体" w:eastAsia="仿宋_GB2312" w:cs="Times New Roman"/>
          <w:kern w:val="2"/>
          <w:sz w:val="32"/>
          <w:szCs w:val="32"/>
          <w:lang w:val="en-US" w:eastAsia="zh-CN" w:bidi="ar-SA"/>
        </w:rPr>
        <w:t>本单位职能平稳有序运行，更好的履行市场监管职责。</w:t>
      </w:r>
    </w:p>
    <w:p>
      <w:pPr>
        <w:keepNext w:val="0"/>
        <w:keepLines w:val="0"/>
        <w:pageBreakBefore w:val="0"/>
        <w:numPr>
          <w:ilvl w:val="0"/>
          <w:numId w:val="0"/>
        </w:numPr>
        <w:kinsoku/>
        <w:wordWrap/>
        <w:overflowPunct/>
        <w:topLinePunct w:val="0"/>
        <w:bidi w:val="0"/>
        <w:spacing w:line="560" w:lineRule="exact"/>
        <w:ind w:left="0" w:firstLine="643" w:firstLineChars="200"/>
        <w:jc w:val="both"/>
        <w:textAlignment w:val="auto"/>
        <w:rPr>
          <w:rFonts w:hint="default" w:ascii="仿宋_GB2312" w:hAnsi="黑体" w:eastAsia="仿宋_GB2312" w:cs="Times New Roman"/>
          <w:kern w:val="2"/>
          <w:sz w:val="32"/>
          <w:szCs w:val="32"/>
          <w:lang w:val="en-US" w:eastAsia="zh-CN" w:bidi="ar-SA"/>
        </w:rPr>
      </w:pPr>
      <w:r>
        <w:rPr>
          <w:rFonts w:hint="eastAsia" w:ascii="仿宋_GB2312" w:hAnsi="黑体" w:eastAsia="仿宋_GB2312" w:cs="Times New Roman"/>
          <w:b/>
          <w:bCs/>
          <w:kern w:val="2"/>
          <w:sz w:val="32"/>
          <w:szCs w:val="32"/>
          <w:lang w:val="en-US" w:eastAsia="zh-CN" w:bidi="ar-SA"/>
        </w:rPr>
        <w:t>6、服务对象满意度。</w:t>
      </w:r>
      <w:r>
        <w:rPr>
          <w:rFonts w:hint="eastAsia" w:ascii="仿宋_GB2312" w:hAnsi="黑体" w:eastAsia="仿宋_GB2312" w:cs="Times New Roman"/>
          <w:kern w:val="2"/>
          <w:sz w:val="32"/>
          <w:szCs w:val="32"/>
          <w:lang w:val="en-US" w:eastAsia="zh-CN" w:bidi="ar-SA"/>
        </w:rPr>
        <w:t>公众满意度达到85%以上。企业满意率90%，公众的消费安全感≥85%。</w:t>
      </w:r>
    </w:p>
    <w:p>
      <w:pPr>
        <w:keepNext w:val="0"/>
        <w:keepLines w:val="0"/>
        <w:pageBreakBefore w:val="0"/>
        <w:numPr>
          <w:ilvl w:val="0"/>
          <w:numId w:val="0"/>
        </w:numPr>
        <w:kinsoku/>
        <w:wordWrap/>
        <w:overflowPunct/>
        <w:topLinePunct w:val="0"/>
        <w:bidi w:val="0"/>
        <w:spacing w:line="560" w:lineRule="exact"/>
        <w:ind w:left="0" w:leftChars="0" w:firstLine="643" w:firstLineChars="200"/>
        <w:jc w:val="both"/>
        <w:textAlignment w:val="auto"/>
        <w:rPr>
          <w:rFonts w:hint="eastAsia" w:eastAsia="楷体_GB2312"/>
          <w:b/>
          <w:sz w:val="32"/>
          <w:szCs w:val="32"/>
        </w:rPr>
      </w:pPr>
      <w:r>
        <w:rPr>
          <w:rFonts w:hint="eastAsia" w:eastAsia="楷体_GB2312"/>
          <w:b/>
          <w:sz w:val="32"/>
          <w:szCs w:val="32"/>
        </w:rPr>
        <w:t>（二）专项资金支出绩效情况</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1、其他政府办公厅（室）及相关机构事务支出项目支出23.95万元，资金主要用于依法查办辖区内市市场监管局委托的违反市场监管法律、法规、规章的相关案件，本项目的开展维护了公平有效的市场秩序。</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2、专项统计业务项目支出4.95万元，资金主要用于“四上企业”的培育，项目的开展深挖企业创新潜力，推动了企业高质量发展。</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3、机关服务项目支出235.76万元，资金主要用于保障芦淞区市场监督管理局院外独立办公场地的正常办公开支，资金主要用于支付劳务派遣人员劳务费；支付职工用餐费用；支付办公场所水、电、气、邮电费、物业管理费及房屋维修维护费。确保了机构改革单位的平稳有序运行，更好的履行市场监管职责。</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4、药品事务项目支出2万元，资金主要用于对权限内药品、医疗器械和化妆品安全进行监督检查，项目的开展保证了药品安全保障水平不断提升。</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5、食品安全监管项目支出47.05万元，资金主要用于食品药品相关证照的办理支出，支付食品抽检费用，开展食品药品相关知识培训，印制法律法规及相关宣传资料等。提高了生产经营者的法律意识，营造了安全的食品生产环境，构建了食品安全的消费环境。</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6、其他市场监督管理事务项目支出207.39万元，资金主要用于行政登记、审批支出，企业信用监管工作支出，业务系统维护支出，消费者权益保护支出，商品与网络交易监管及广告监测专项支出，特种设备安全监管支出，日常监管与执法支出。市场交易秩序得到了长期维护，本单位市场监管能力与水平持续提升。</w:t>
      </w:r>
    </w:p>
    <w:p>
      <w:pPr>
        <w:pStyle w:val="5"/>
        <w:keepNext w:val="0"/>
        <w:keepLines w:val="0"/>
        <w:pageBreakBefore w:val="0"/>
        <w:kinsoku/>
        <w:wordWrap/>
        <w:overflowPunct/>
        <w:topLinePunct w:val="0"/>
        <w:bidi w:val="0"/>
        <w:spacing w:line="560" w:lineRule="exact"/>
        <w:ind w:left="0"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pPr>
        <w:pStyle w:val="6"/>
        <w:keepNext w:val="0"/>
        <w:keepLines w:val="0"/>
        <w:pageBreakBefore w:val="0"/>
        <w:kinsoku/>
        <w:wordWrap/>
        <w:overflowPunct/>
        <w:topLinePunct w:val="0"/>
        <w:bidi w:val="0"/>
        <w:spacing w:line="560" w:lineRule="exact"/>
        <w:ind w:left="0" w:firstLine="640" w:firstLineChars="200"/>
        <w:jc w:val="both"/>
        <w:textAlignment w:val="auto"/>
        <w:rPr>
          <w:rFonts w:hint="eastAsia" w:ascii="仿宋_GB2312" w:hAnsi="黑体" w:eastAsia="仿宋_GB2312" w:cs="Times New Roman"/>
          <w:color w:val="auto"/>
          <w:kern w:val="2"/>
          <w:sz w:val="32"/>
          <w:szCs w:val="32"/>
          <w:lang w:val="en-US" w:eastAsia="zh-CN" w:bidi="ar-SA"/>
        </w:rPr>
      </w:pPr>
      <w:r>
        <w:rPr>
          <w:rFonts w:hint="eastAsia" w:ascii="仿宋_GB2312" w:hAnsi="黑体" w:eastAsia="仿宋_GB2312" w:cs="Times New Roman"/>
          <w:color w:val="auto"/>
          <w:kern w:val="2"/>
          <w:sz w:val="32"/>
          <w:szCs w:val="32"/>
          <w:lang w:val="en-US" w:eastAsia="zh-CN" w:bidi="ar-SA"/>
        </w:rPr>
        <w:t>1、行政运行项目年初预算为1737.88万元，支出决算为1446.90万元，完成年初预算的83.26%，预算支出执行偏离绩效目标的主要原因是根据财政财力安排，压减经费支出。</w:t>
      </w:r>
    </w:p>
    <w:p>
      <w:pPr>
        <w:pStyle w:val="6"/>
        <w:keepNext w:val="0"/>
        <w:keepLines w:val="0"/>
        <w:pageBreakBefore w:val="0"/>
        <w:kinsoku/>
        <w:wordWrap/>
        <w:overflowPunct/>
        <w:topLinePunct w:val="0"/>
        <w:bidi w:val="0"/>
        <w:spacing w:line="560" w:lineRule="exact"/>
        <w:ind w:left="0" w:firstLine="640" w:firstLineChars="200"/>
        <w:jc w:val="both"/>
        <w:textAlignment w:val="auto"/>
        <w:rPr>
          <w:rFonts w:hint="eastAsia" w:ascii="仿宋_GB2312" w:hAnsi="黑体" w:eastAsia="仿宋_GB2312" w:cs="Times New Roman"/>
          <w:color w:val="auto"/>
          <w:kern w:val="2"/>
          <w:sz w:val="32"/>
          <w:szCs w:val="32"/>
          <w:lang w:val="en-US" w:eastAsia="zh-CN" w:bidi="ar-SA"/>
        </w:rPr>
      </w:pPr>
      <w:r>
        <w:rPr>
          <w:rFonts w:hint="eastAsia" w:ascii="仿宋_GB2312" w:hAnsi="黑体" w:eastAsia="仿宋_GB2312" w:cs="Times New Roman"/>
          <w:color w:val="auto"/>
          <w:kern w:val="2"/>
          <w:sz w:val="32"/>
          <w:szCs w:val="32"/>
          <w:lang w:val="en-US" w:eastAsia="zh-CN" w:bidi="ar-SA"/>
        </w:rPr>
        <w:t>2、食品安全监管项目年初预算为0万元，支出决算为47.05万元，预算支出执行偏离绩效目标的主要原因是原预算业务类项目支出统计口径未包含食品安全专项支出，而是纳入归口管理的区本级项目支出。</w:t>
      </w:r>
    </w:p>
    <w:p>
      <w:pPr>
        <w:pStyle w:val="6"/>
        <w:keepNext w:val="0"/>
        <w:keepLines w:val="0"/>
        <w:pageBreakBefore w:val="0"/>
        <w:kinsoku/>
        <w:wordWrap/>
        <w:overflowPunct/>
        <w:topLinePunct w:val="0"/>
        <w:bidi w:val="0"/>
        <w:spacing w:line="560" w:lineRule="exact"/>
        <w:ind w:left="0" w:firstLine="640" w:firstLineChars="200"/>
        <w:jc w:val="both"/>
        <w:textAlignment w:val="auto"/>
        <w:rPr>
          <w:rFonts w:hint="eastAsia" w:eastAsia="仿宋_GB2312"/>
          <w:sz w:val="32"/>
          <w:szCs w:val="32"/>
        </w:rPr>
      </w:pPr>
      <w:r>
        <w:rPr>
          <w:rFonts w:hint="eastAsia" w:ascii="仿宋_GB2312" w:hAnsi="黑体" w:eastAsia="仿宋_GB2312" w:cs="Times New Roman"/>
          <w:color w:val="auto"/>
          <w:kern w:val="2"/>
          <w:sz w:val="32"/>
          <w:szCs w:val="32"/>
          <w:lang w:val="en-US" w:eastAsia="zh-CN" w:bidi="ar-SA"/>
        </w:rPr>
        <w:t>3、其他市场监督管理事务项目。年初预算为0万元，支出决算为207.39万元，预算支出执行偏离绩效目标的主要原因是原预算业务类项目支出统计口径未包含市场监管专项支出，而是纳入归口管理的区本级项目支出。</w:t>
      </w:r>
    </w:p>
    <w:p>
      <w:pPr>
        <w:keepNext w:val="0"/>
        <w:keepLines w:val="0"/>
        <w:pageBreakBefore w:val="0"/>
        <w:kinsoku/>
        <w:wordWrap/>
        <w:overflowPunct/>
        <w:topLinePunct w:val="0"/>
        <w:bidi w:val="0"/>
        <w:spacing w:line="560" w:lineRule="exact"/>
        <w:ind w:left="0" w:firstLine="640" w:firstLineChars="200"/>
        <w:jc w:val="both"/>
        <w:textAlignment w:val="auto"/>
        <w:rPr>
          <w:rFonts w:eastAsia="黑体"/>
          <w:sz w:val="32"/>
          <w:szCs w:val="32"/>
        </w:rPr>
      </w:pPr>
      <w:r>
        <w:rPr>
          <w:rFonts w:eastAsia="黑体"/>
          <w:sz w:val="32"/>
          <w:szCs w:val="32"/>
        </w:rPr>
        <w:t>八、下一步改进措施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cs="Times New Roman"/>
          <w:i w:val="0"/>
          <w:iCs w:val="0"/>
          <w:caps w:val="0"/>
          <w:color w:val="333333"/>
          <w:spacing w:val="0"/>
          <w:sz w:val="21"/>
          <w:szCs w:val="21"/>
        </w:rPr>
      </w:pPr>
      <w:r>
        <w:rPr>
          <w:rFonts w:hint="eastAsia" w:ascii="仿宋_GB2312" w:hAnsi="黑体" w:eastAsia="仿宋_GB2312" w:cs="Times New Roman"/>
          <w:kern w:val="2"/>
          <w:sz w:val="32"/>
          <w:szCs w:val="32"/>
          <w:lang w:val="en-US" w:eastAsia="zh-CN" w:bidi="ar-SA"/>
        </w:rPr>
        <w:t> 1、科学合理编制预算，严格执行预算。进一步提高预算编制到位率，做准做全基本支出预算，做全项目支出预算，加强预算支出的审核、跟踪及预算执行情况分析，提高预算编制严谨性和可控性。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60" w:lineRule="exact"/>
        <w:ind w:left="0" w:right="0" w:firstLine="640" w:firstLineChars="200"/>
        <w:jc w:val="both"/>
        <w:textAlignment w:val="auto"/>
        <w:rPr>
          <w:rFonts w:hint="eastAsia" w:eastAsia="仿宋_GB2312"/>
          <w:sz w:val="32"/>
          <w:szCs w:val="32"/>
          <w:lang w:val="en-US" w:eastAsia="zh-CN"/>
        </w:rPr>
      </w:pPr>
      <w:r>
        <w:rPr>
          <w:rFonts w:hint="eastAsia" w:ascii="仿宋_GB2312" w:hAnsi="黑体" w:eastAsia="仿宋_GB2312" w:cs="Times New Roman"/>
          <w:kern w:val="2"/>
          <w:sz w:val="32"/>
          <w:szCs w:val="32"/>
          <w:lang w:val="en-US" w:eastAsia="zh-CN" w:bidi="ar-SA"/>
        </w:rPr>
        <w:t>2、进一步加强项目资金管理。严格实行项目管理程序化，实现项目申报、实施、拨付、评价全流程监督与控制，规范专项资金管理，提高专项资金的使用效益。</w:t>
      </w:r>
    </w:p>
    <w:p>
      <w:pPr>
        <w:keepNext w:val="0"/>
        <w:keepLines w:val="0"/>
        <w:pageBreakBefore w:val="0"/>
        <w:kinsoku/>
        <w:wordWrap/>
        <w:overflowPunct/>
        <w:topLinePunct w:val="0"/>
        <w:bidi w:val="0"/>
        <w:spacing w:line="560" w:lineRule="exact"/>
        <w:ind w:left="0" w:firstLine="640" w:firstLineChars="200"/>
        <w:jc w:val="both"/>
        <w:textAlignment w:val="auto"/>
        <w:rPr>
          <w:rFonts w:eastAsia="黑体"/>
          <w:sz w:val="32"/>
          <w:szCs w:val="32"/>
        </w:rPr>
      </w:pPr>
      <w:r>
        <w:rPr>
          <w:rFonts w:eastAsia="黑体"/>
          <w:sz w:val="32"/>
          <w:szCs w:val="32"/>
        </w:rPr>
        <w:t>九、绩效自评结果拟应用和公开情况</w:t>
      </w:r>
    </w:p>
    <w:p>
      <w:pPr>
        <w:keepNext w:val="0"/>
        <w:keepLines w:val="0"/>
        <w:pageBreakBefore w:val="0"/>
        <w:kinsoku/>
        <w:wordWrap/>
        <w:overflowPunct/>
        <w:topLinePunct w:val="0"/>
        <w:bidi w:val="0"/>
        <w:spacing w:line="560" w:lineRule="exact"/>
        <w:ind w:left="0" w:firstLine="640" w:firstLineChars="200"/>
        <w:jc w:val="both"/>
        <w:textAlignment w:val="auto"/>
        <w:rPr>
          <w:rFonts w:hint="eastAsia" w:ascii="仿宋_GB2312" w:hAnsi="黑体" w:eastAsia="仿宋_GB2312" w:cs="Times New Roman"/>
          <w:kern w:val="2"/>
          <w:sz w:val="32"/>
          <w:szCs w:val="32"/>
          <w:lang w:val="en-US" w:eastAsia="zh-CN" w:bidi="ar-SA"/>
        </w:rPr>
      </w:pPr>
      <w:r>
        <w:rPr>
          <w:rFonts w:hint="eastAsia" w:ascii="仿宋_GB2312" w:hAnsi="黑体" w:eastAsia="仿宋_GB2312" w:cs="Times New Roman"/>
          <w:kern w:val="2"/>
          <w:sz w:val="32"/>
          <w:szCs w:val="32"/>
          <w:lang w:val="en-US" w:eastAsia="zh-CN" w:bidi="ar-SA"/>
        </w:rPr>
        <w:t>本部门将项目自评结果在芦淞区政府官网上进行公开。并把自评结果应用作为全过程预算绩效管理落脚点，及时整理、归纳、分析、反馈绩效自评结果，并将其作为改进预算管理和以后年度预算安排的重要依据。 </w:t>
      </w:r>
    </w:p>
    <w:p>
      <w:pPr>
        <w:keepNext w:val="0"/>
        <w:keepLines w:val="0"/>
        <w:pageBreakBefore w:val="0"/>
        <w:kinsoku/>
        <w:wordWrap/>
        <w:overflowPunct/>
        <w:topLinePunct w:val="0"/>
        <w:bidi w:val="0"/>
        <w:spacing w:line="560" w:lineRule="exact"/>
        <w:ind w:left="0" w:firstLine="640" w:firstLineChars="200"/>
        <w:jc w:val="both"/>
        <w:textAlignment w:val="auto"/>
        <w:rPr>
          <w:rFonts w:eastAsia="黑体"/>
          <w:sz w:val="32"/>
          <w:szCs w:val="32"/>
        </w:rPr>
      </w:pPr>
      <w:r>
        <w:rPr>
          <w:rFonts w:hint="eastAsia" w:eastAsia="黑体"/>
          <w:sz w:val="32"/>
          <w:szCs w:val="32"/>
        </w:rPr>
        <w:t>十、</w:t>
      </w:r>
      <w:r>
        <w:rPr>
          <w:rFonts w:eastAsia="黑体"/>
          <w:sz w:val="32"/>
          <w:szCs w:val="32"/>
        </w:rPr>
        <w:t>其他需要说明的情况</w:t>
      </w:r>
    </w:p>
    <w:p>
      <w:pPr>
        <w:keepNext w:val="0"/>
        <w:keepLines w:val="0"/>
        <w:pageBreakBefore w:val="0"/>
        <w:kinsoku/>
        <w:wordWrap/>
        <w:overflowPunct/>
        <w:topLinePunct w:val="0"/>
        <w:bidi w:val="0"/>
        <w:spacing w:line="560" w:lineRule="exact"/>
        <w:ind w:left="0" w:firstLine="640" w:firstLineChars="200"/>
        <w:jc w:val="both"/>
        <w:textAlignment w:val="auto"/>
        <w:rPr>
          <w:rFonts w:hint="eastAsia" w:eastAsia="仿宋_GB2312"/>
          <w:sz w:val="32"/>
          <w:szCs w:val="32"/>
          <w:lang w:eastAsia="zh-CN"/>
        </w:rPr>
      </w:pPr>
      <w:r>
        <w:rPr>
          <w:rFonts w:hint="eastAsia" w:ascii="仿宋_GB2312" w:hAnsi="黑体" w:eastAsia="仿宋_GB2312" w:cs="Times New Roman"/>
          <w:kern w:val="2"/>
          <w:sz w:val="32"/>
          <w:szCs w:val="32"/>
          <w:lang w:val="en-US" w:eastAsia="zh-CN" w:bidi="ar-SA"/>
        </w:rPr>
        <w:t>无。</w:t>
      </w:r>
    </w:p>
    <w:p>
      <w:pPr>
        <w:keepNext w:val="0"/>
        <w:keepLines w:val="0"/>
        <w:pageBreakBefore w:val="0"/>
        <w:kinsoku/>
        <w:wordWrap/>
        <w:overflowPunct/>
        <w:topLinePunct w:val="0"/>
        <w:bidi w:val="0"/>
        <w:spacing w:line="560" w:lineRule="exact"/>
        <w:ind w:left="0" w:firstLine="640" w:firstLineChars="200"/>
        <w:jc w:val="both"/>
        <w:textAlignment w:val="auto"/>
        <w:rPr>
          <w:rFonts w:eastAsia="仿宋_GB2312"/>
          <w:kern w:val="0"/>
          <w:sz w:val="32"/>
          <w:szCs w:val="32"/>
        </w:rPr>
      </w:pPr>
    </w:p>
    <w:p>
      <w:pPr>
        <w:keepNext w:val="0"/>
        <w:keepLines w:val="0"/>
        <w:pageBreakBefore w:val="0"/>
        <w:kinsoku/>
        <w:wordWrap/>
        <w:overflowPunct/>
        <w:topLinePunct w:val="0"/>
        <w:bidi w:val="0"/>
        <w:spacing w:line="560" w:lineRule="exact"/>
        <w:ind w:left="0" w:firstLine="640" w:firstLineChars="200"/>
        <w:jc w:val="both"/>
        <w:textAlignment w:val="auto"/>
      </w:pPr>
      <w:r>
        <w:rPr>
          <w:rFonts w:eastAsia="黑体"/>
          <w:sz w:val="32"/>
          <w:szCs w:val="32"/>
        </w:rPr>
        <w:br w:type="page"/>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B9A674"/>
    <w:multiLevelType w:val="singleLevel"/>
    <w:tmpl w:val="B1B9A674"/>
    <w:lvl w:ilvl="0" w:tentative="0">
      <w:start w:val="2"/>
      <w:numFmt w:val="chineseCounting"/>
      <w:suff w:val="nothing"/>
      <w:lvlText w:val="（%1）"/>
      <w:lvlJc w:val="left"/>
      <w:rPr>
        <w:rFonts w:hint="eastAsia"/>
      </w:rPr>
    </w:lvl>
  </w:abstractNum>
  <w:abstractNum w:abstractNumId="1">
    <w:nsid w:val="3287359C"/>
    <w:multiLevelType w:val="singleLevel"/>
    <w:tmpl w:val="3287359C"/>
    <w:lvl w:ilvl="0" w:tentative="0">
      <w:start w:val="1"/>
      <w:numFmt w:val="decimal"/>
      <w:suff w:val="nothing"/>
      <w:lvlText w:val="%1、"/>
      <w:lvlJc w:val="left"/>
    </w:lvl>
  </w:abstractNum>
  <w:abstractNum w:abstractNumId="2">
    <w:nsid w:val="6B775A7E"/>
    <w:multiLevelType w:val="singleLevel"/>
    <w:tmpl w:val="6B775A7E"/>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ZGVjMjRiMjI1ODA0ZDFlNjdlNTY2ZjczZjQ4ZDMifQ=="/>
  </w:docVars>
  <w:rsids>
    <w:rsidRoot w:val="00013C6F"/>
    <w:rsid w:val="00004E70"/>
    <w:rsid w:val="00013C6F"/>
    <w:rsid w:val="000B4410"/>
    <w:rsid w:val="00140ADB"/>
    <w:rsid w:val="001B7BB0"/>
    <w:rsid w:val="00207FA3"/>
    <w:rsid w:val="00225EC1"/>
    <w:rsid w:val="004D3743"/>
    <w:rsid w:val="005A433C"/>
    <w:rsid w:val="00673FF4"/>
    <w:rsid w:val="007303EB"/>
    <w:rsid w:val="0077126D"/>
    <w:rsid w:val="007A119C"/>
    <w:rsid w:val="008C62A7"/>
    <w:rsid w:val="009A30C1"/>
    <w:rsid w:val="009F5760"/>
    <w:rsid w:val="00A56C8A"/>
    <w:rsid w:val="00B8001C"/>
    <w:rsid w:val="00BC251C"/>
    <w:rsid w:val="00C1053A"/>
    <w:rsid w:val="00D5092F"/>
    <w:rsid w:val="00D60BFF"/>
    <w:rsid w:val="00E04629"/>
    <w:rsid w:val="00E55161"/>
    <w:rsid w:val="00F1451A"/>
    <w:rsid w:val="00FB77A6"/>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6E3A25"/>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35ACB"/>
    <w:rsid w:val="17DC3DC3"/>
    <w:rsid w:val="181F357B"/>
    <w:rsid w:val="188345AC"/>
    <w:rsid w:val="195E168F"/>
    <w:rsid w:val="196A7CDF"/>
    <w:rsid w:val="19C72BF8"/>
    <w:rsid w:val="19CA553D"/>
    <w:rsid w:val="19E1383C"/>
    <w:rsid w:val="1A4E2E8E"/>
    <w:rsid w:val="1AE747FC"/>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3FE5E11"/>
    <w:rsid w:val="243235AA"/>
    <w:rsid w:val="245B2B05"/>
    <w:rsid w:val="24B10BAC"/>
    <w:rsid w:val="24D2061D"/>
    <w:rsid w:val="251132F3"/>
    <w:rsid w:val="253C38DE"/>
    <w:rsid w:val="25B24E22"/>
    <w:rsid w:val="262232BB"/>
    <w:rsid w:val="262B4FF6"/>
    <w:rsid w:val="264810A7"/>
    <w:rsid w:val="265A7CC8"/>
    <w:rsid w:val="27014400"/>
    <w:rsid w:val="271B2298"/>
    <w:rsid w:val="276D0D8C"/>
    <w:rsid w:val="286C33CA"/>
    <w:rsid w:val="2884463C"/>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0BB0C62"/>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E46E2D"/>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2A67168"/>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8A95C04"/>
    <w:rsid w:val="48EB44EE"/>
    <w:rsid w:val="491722FF"/>
    <w:rsid w:val="491D74A7"/>
    <w:rsid w:val="497C7C2F"/>
    <w:rsid w:val="498307B4"/>
    <w:rsid w:val="49882B9B"/>
    <w:rsid w:val="49AF4809"/>
    <w:rsid w:val="49B324BE"/>
    <w:rsid w:val="4A3763F6"/>
    <w:rsid w:val="4A5007FC"/>
    <w:rsid w:val="4A885383"/>
    <w:rsid w:val="4AE85958"/>
    <w:rsid w:val="4AF51ADF"/>
    <w:rsid w:val="4AFD5436"/>
    <w:rsid w:val="4B7C2BF9"/>
    <w:rsid w:val="4B845AA1"/>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EE4791"/>
    <w:rsid w:val="5AF97A89"/>
    <w:rsid w:val="5B352171"/>
    <w:rsid w:val="5B514882"/>
    <w:rsid w:val="5B5C757D"/>
    <w:rsid w:val="5B6B124E"/>
    <w:rsid w:val="5D155819"/>
    <w:rsid w:val="5D3F048D"/>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9731F4"/>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B3B48D5"/>
    <w:rsid w:val="6BBF4B8D"/>
    <w:rsid w:val="6C630660"/>
    <w:rsid w:val="6C6E6460"/>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 w:val="7FEC7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List Paragraph"/>
    <w:basedOn w:val="1"/>
    <w:qFormat/>
    <w:uiPriority w:val="99"/>
    <w:pPr>
      <w:ind w:firstLine="420" w:firstLineChars="200"/>
    </w:pPr>
    <w:rPr>
      <w:rFonts w:ascii="Calibri" w:hAnsi="Calibri"/>
      <w:szCs w:val="22"/>
    </w:r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3156</Words>
  <Characters>3383</Characters>
  <Lines>13</Lines>
  <Paragraphs>3</Paragraphs>
  <TotalTime>1</TotalTime>
  <ScaleCrop>false</ScaleCrop>
  <LinksUpToDate>false</LinksUpToDate>
  <CharactersWithSpaces>3385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dcterms:modified xsi:type="dcterms:W3CDTF">2022-12-07T03:28:03Z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46B1E17AE7754E13BA78DBD53DD7830E</vt:lpwstr>
  </property>
</Properties>
</file>