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560" w:lineRule="exact"/>
        <w:ind w:left="0" w:leftChars="0" w:firstLine="960" w:firstLineChars="200"/>
        <w:jc w:val="center"/>
        <w:rPr>
          <w:rFonts w:hint="default" w:ascii="Times New Roman" w:hAnsi="Times New Roman" w:eastAsia="方正小标宋_GBK" w:cs="Times New Roman"/>
          <w:sz w:val="48"/>
          <w:szCs w:val="48"/>
        </w:rPr>
      </w:pPr>
    </w:p>
    <w:p>
      <w:pPr>
        <w:keepNext w:val="0"/>
        <w:keepLines w:val="0"/>
        <w:pageBreakBefore w:val="0"/>
        <w:widowControl w:val="0"/>
        <w:kinsoku/>
        <w:wordWrap/>
        <w:overflowPunct/>
        <w:autoSpaceDE/>
        <w:autoSpaceDN/>
        <w:bidi w:val="0"/>
        <w:spacing w:line="560" w:lineRule="exact"/>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2021年度株洲市芦淞区人力资源和社会</w:t>
      </w:r>
    </w:p>
    <w:p>
      <w:pPr>
        <w:keepNext w:val="0"/>
        <w:keepLines w:val="0"/>
        <w:pageBreakBefore w:val="0"/>
        <w:widowControl w:val="0"/>
        <w:kinsoku/>
        <w:wordWrap/>
        <w:overflowPunct/>
        <w:autoSpaceDE/>
        <w:autoSpaceDN/>
        <w:bidi w:val="0"/>
        <w:spacing w:line="560" w:lineRule="exact"/>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保障局整体支出绩效自评报告</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880" w:firstLineChars="200"/>
        <w:jc w:val="both"/>
        <w:rPr>
          <w:rFonts w:hint="default" w:ascii="Times New Roman" w:hAnsi="Times New Roman" w:eastAsia="黑体" w:cs="Times New Roman"/>
          <w:sz w:val="44"/>
          <w:szCs w:val="44"/>
        </w:rPr>
      </w:pPr>
    </w:p>
    <w:p>
      <w:pPr>
        <w:keepNext w:val="0"/>
        <w:keepLines w:val="0"/>
        <w:pageBreakBefore w:val="0"/>
        <w:widowControl w:val="0"/>
        <w:kinsoku/>
        <w:wordWrap/>
        <w:overflowPunct/>
        <w:autoSpaceDE/>
        <w:autoSpaceDN/>
        <w:bidi w:val="0"/>
        <w:spacing w:line="560" w:lineRule="exact"/>
        <w:ind w:left="0" w:leftChars="0" w:firstLine="720" w:firstLineChars="200"/>
        <w:jc w:val="both"/>
        <w:rPr>
          <w:rFonts w:hint="default" w:ascii="Times New Roman" w:hAnsi="Times New Roman" w:eastAsia="黑体" w:cs="Times New Roman"/>
          <w:sz w:val="36"/>
          <w:szCs w:val="36"/>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w:t>
      </w:r>
      <w:bookmarkStart w:id="0" w:name="_GoBack"/>
      <w:bookmarkEnd w:id="0"/>
      <w:r>
        <w:rPr>
          <w:rFonts w:hint="default" w:ascii="Times New Roman" w:hAnsi="Times New Roman" w:eastAsia="楷体_GB2312" w:cs="Times New Roman"/>
          <w:b/>
          <w:sz w:val="32"/>
          <w:szCs w:val="32"/>
        </w:rPr>
        <w:t>基本情况</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株洲市芦淞区人力资源和社会保障局是区政府工作部门，为正科级。内设机构5个，所属事业单位4个。</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主要职责是：</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1、贯彻执行国家、省、市有关人力资源和社会保障工作的法律、法规和方针、政策，拟定全区人力资源和社会保障事业的总体规划和实施办法，并组织实施和监督检查。</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2、落实全区事业单位人事制度改革，按照管理权限负责规范事业单位岗位设置、公开招聘、聘用合同、考核奖励等人事综合管理工作。</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3、负责全区事业单位工作人员和机关工勤人员的管理，落实工资福利和离退休政策。</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4、负责全区专业技术人员职称评审等管理工作。</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5、宣传和贯彻劳动保障法律、法规和规章，负责全区劳动监察行政执法工作，承办各类劳动用工的录用备案手续，审批全区特殊工时制，审查集体合同及专项集体合同，监督企业执行最低工资标准。</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6、负责劳动关系的协调，加强对辖区用人单位的监督和检查，依法查处劳动保障案件。会同有关部门统筹做好全区农民工工资支付保障工作，维护农民工合法权益。</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7、负责全区劳动人事争议调解仲裁工作。</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8、负责辖区人力资源市场和经营性人力资源服务机构的指导和监管工作。</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9、负责指导全区就业工作，认定就业困难人员并给予就业援助，核发《就业创业证》；开发并认定公益性岗位；审核灵活就业人员社保补贴；核发就业专项资金。</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bCs/>
          <w:kern w:val="0"/>
          <w:sz w:val="32"/>
          <w:szCs w:val="32"/>
        </w:rPr>
        <w:t>统筹推进建立全区覆盖城乡的多层次社会保障体系。负责企业职工工龄认定和企业职工退休审批工作;负责芦淞区企业退休人员丧葬待遇审批工作；负责芦淞区城乡居民基本养老保险、企业职工基本养老保险、失地农民养老保险、失业保险的待遇核定工作；负责机关事业单位退休人员视同缴费年限审核。</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11、制定全区社会保险基金及专项资金的监督管理制度并组织实施，依法查处基金及专项资金管理的违规违纪案件。</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12、承担区为民办实事考核办公室的日常工作，组织民生实事考核。</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Cs/>
          <w:kern w:val="0"/>
          <w:sz w:val="32"/>
          <w:szCs w:val="32"/>
        </w:rPr>
        <w:t>13、</w:t>
      </w:r>
      <w:r>
        <w:rPr>
          <w:rFonts w:hint="default" w:ascii="Times New Roman" w:hAnsi="Times New Roman" w:eastAsia="仿宋_GB2312" w:cs="Times New Roman"/>
          <w:sz w:val="32"/>
          <w:szCs w:val="32"/>
        </w:rPr>
        <w:t>负责改制企业档案移交及管理工作；指导企业单位退休人员档案的服务与管理。</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14、负责指导基层劳动保障工作。</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15、完成区委、区政府交办的其他任务。</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16、职能转变。</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（1）公务员管理职责划入区委组织部。</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（2）将军官转业安置职责划入区退役军人事务局。</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（3）将城镇职工和城镇居民基本医疗保险、生育保险、新型农村合作医疗职责划入区医疗保障局。</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（4）将外国专家管理职责划入区科技和工业信息化局。</w:t>
      </w:r>
    </w:p>
    <w:p>
      <w:pPr>
        <w:keepNext w:val="0"/>
        <w:keepLines w:val="0"/>
        <w:pageBreakBefore w:val="0"/>
        <w:widowControl w:val="0"/>
        <w:numPr>
          <w:ilvl w:val="0"/>
          <w:numId w:val="1"/>
        </w:numPr>
        <w:kinsoku/>
        <w:wordWrap/>
        <w:overflowPunct/>
        <w:autoSpaceDE/>
        <w:autoSpaceDN/>
        <w:bidi w:val="0"/>
        <w:spacing w:line="560" w:lineRule="exact"/>
        <w:ind w:left="0" w:leftChars="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部门（单位）年度整体支出绩效目标，部门专项资金绩效目标、其他项目支出（除省级专项资金以外）绩效目标</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1、整体支出绩效目标：</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一是稳定全区就业大盘，</w:t>
      </w:r>
      <w:r>
        <w:rPr>
          <w:rFonts w:hint="default" w:ascii="Times New Roman" w:hAnsi="Times New Roman" w:eastAsia="仿宋_GB2312" w:cs="Times New Roman"/>
          <w:bCs/>
          <w:sz w:val="32"/>
          <w:szCs w:val="32"/>
        </w:rPr>
        <w:t>充分发挥区稳就业保就业工作领导小组统筹职能，多方落实稳岗政策，精准帮扶重点群体。</w:t>
      </w:r>
      <w:r>
        <w:rPr>
          <w:rFonts w:hint="default" w:ascii="Times New Roman" w:hAnsi="Times New Roman" w:eastAsia="仿宋_GB2312" w:cs="Times New Roman"/>
          <w:sz w:val="32"/>
          <w:szCs w:val="32"/>
        </w:rPr>
        <w:t>开展“三个建设”保障就业、打造“两个牵引”促进就业；</w:t>
      </w:r>
      <w:r>
        <w:rPr>
          <w:rFonts w:hint="default" w:ascii="Times New Roman" w:hAnsi="Times New Roman" w:eastAsia="仿宋_GB2312" w:cs="Times New Roman"/>
          <w:b/>
          <w:bCs/>
          <w:sz w:val="32"/>
          <w:szCs w:val="32"/>
        </w:rPr>
        <w:t>二是优化人事人才队伍，</w:t>
      </w:r>
      <w:r>
        <w:rPr>
          <w:rFonts w:hint="default" w:ascii="Times New Roman" w:hAnsi="Times New Roman" w:eastAsia="仿宋_GB2312" w:cs="Times New Roman"/>
          <w:sz w:val="32"/>
          <w:szCs w:val="32"/>
        </w:rPr>
        <w:t>开展面向高校招聘、社会公开招聘以及三支一扶等招考工作、建立我区人事人才信息平台、出台人事管理规范性文件；</w:t>
      </w:r>
      <w:r>
        <w:rPr>
          <w:rFonts w:hint="default" w:ascii="Times New Roman" w:hAnsi="Times New Roman" w:eastAsia="仿宋_GB2312" w:cs="Times New Roman"/>
          <w:b/>
          <w:bCs/>
          <w:sz w:val="32"/>
          <w:szCs w:val="32"/>
        </w:rPr>
        <w:t>三是有序推进社会保障，</w:t>
      </w:r>
      <w:r>
        <w:rPr>
          <w:rFonts w:hint="default" w:ascii="Times New Roman" w:hAnsi="Times New Roman" w:eastAsia="仿宋_GB2312" w:cs="Times New Roman"/>
          <w:sz w:val="32"/>
          <w:szCs w:val="32"/>
        </w:rPr>
        <w:t>专项整治维护社保基金安全、多渠道扩面推动全民参保、兜牢民生保障底线；</w:t>
      </w:r>
      <w:r>
        <w:rPr>
          <w:rFonts w:hint="default" w:ascii="Times New Roman" w:hAnsi="Times New Roman" w:eastAsia="仿宋_GB2312" w:cs="Times New Roman"/>
          <w:b/>
          <w:bCs/>
          <w:sz w:val="32"/>
          <w:szCs w:val="32"/>
        </w:rPr>
        <w:t>四是构建和谐劳动关系，</w:t>
      </w:r>
      <w:r>
        <w:rPr>
          <w:rFonts w:hint="default" w:ascii="Times New Roman" w:hAnsi="Times New Roman" w:eastAsia="仿宋_GB2312" w:cs="Times New Roman"/>
          <w:sz w:val="32"/>
          <w:szCs w:val="32"/>
        </w:rPr>
        <w:t>联合区司法局、区法院、街道（镇）构建矛盾调解、法律咨询、立案等“一站式”联动化解农民工欠薪问题工作机制、强化服饰加工、洗水及餐饮娱乐等重点行业的监管及巡查力度；</w:t>
      </w:r>
      <w:r>
        <w:rPr>
          <w:rFonts w:hint="default" w:ascii="Times New Roman" w:hAnsi="Times New Roman" w:eastAsia="仿宋_GB2312" w:cs="Times New Roman"/>
          <w:b/>
          <w:bCs/>
          <w:sz w:val="32"/>
          <w:szCs w:val="32"/>
        </w:rPr>
        <w:t>五是办好一批民生实事，</w:t>
      </w:r>
      <w:r>
        <w:rPr>
          <w:rFonts w:hint="default" w:ascii="Times New Roman" w:hAnsi="Times New Roman" w:eastAsia="仿宋_GB2312" w:cs="Times New Roman"/>
          <w:sz w:val="32"/>
          <w:szCs w:val="32"/>
        </w:rPr>
        <w:t>制定推进措施，分解量化目标任务，夯实工作责任。</w:t>
      </w:r>
    </w:p>
    <w:p>
      <w:pPr>
        <w:pStyle w:val="5"/>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cs="Times New Roman"/>
        </w:rPr>
      </w:pPr>
      <w:r>
        <w:rPr>
          <w:rFonts w:hint="default" w:ascii="Times New Roman" w:hAnsi="Times New Roman" w:cs="Times New Roman"/>
        </w:rPr>
        <w:t>2、部门专项绩效目标：（1）招考工作和人事人才工作经费，进一步优化干部队伍结构，加强干部队伍建设。（2）社保征缴、扩面等专项工作经费，健全失地农民社会保障工作，做好失地农民参保缴费工作、保障退休人员进行资格认证，对重复领待人员进行稽核、保障全民参保工作、城乡居保工作、工伤保险单位参保、缴费等相关经办工作有序进行。（3）民生100工程专项工作经费，完成市里要求的项目指标任务。（4）退休人员生存认证专项经费，核实退休人员生存情况，保证基金安全，防止死亡冒领。（5）劳动保障监察、仲裁综合执法及办案经费，保障全区劳动监察行政执法工作，协调劳动关系，加强对辖区用人单位的监督和检查，依法查处劳动保障案件，维护农民工合法权益，解决全区劳动人事争议调解仲裁工作。（6）“3140智慧人社”平台维护费及宣传，推进“3140智慧人社”建设，优化移动端、自助端、企业端和基层端功能，加强平台推广使用。</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color w:val="000000"/>
          <w:sz w:val="32"/>
          <w:szCs w:val="32"/>
        </w:rPr>
      </w:pPr>
      <w:r>
        <w:rPr>
          <w:rFonts w:hint="default" w:ascii="Times New Roman" w:hAnsi="Times New Roman" w:eastAsia="楷体_GB2312" w:cs="Times New Roman"/>
          <w:sz w:val="32"/>
          <w:szCs w:val="32"/>
        </w:rPr>
        <w:t>1、</w:t>
      </w:r>
      <w:r>
        <w:rPr>
          <w:rFonts w:hint="default" w:ascii="Times New Roman" w:hAnsi="Times New Roman" w:eastAsia="仿宋" w:cs="Times New Roman"/>
          <w:color w:val="000000"/>
          <w:sz w:val="32"/>
          <w:szCs w:val="32"/>
        </w:rPr>
        <w:t>2021年预算资金</w:t>
      </w:r>
    </w:p>
    <w:p>
      <w:pPr>
        <w:keepNext w:val="0"/>
        <w:keepLines w:val="0"/>
        <w:pageBreakBefore w:val="0"/>
        <w:widowControl w:val="0"/>
        <w:tabs>
          <w:tab w:val="left" w:pos="7560"/>
        </w:tabs>
        <w:kinsoku/>
        <w:wordWrap/>
        <w:overflowPunct/>
        <w:autoSpaceDE/>
        <w:autoSpaceDN/>
        <w:bidi w:val="0"/>
        <w:adjustRightInd w:val="0"/>
        <w:snapToGrid w:val="0"/>
        <w:spacing w:line="560" w:lineRule="exact"/>
        <w:ind w:left="0" w:leftChars="0" w:firstLine="640" w:firstLineChars="200"/>
        <w:jc w:val="both"/>
        <w:rPr>
          <w:rFonts w:hint="default" w:ascii="Times New Roman" w:hAnsi="Times New Roman" w:eastAsia="黑体" w:cs="Times New Roman"/>
          <w:bCs/>
          <w:kern w:val="0"/>
          <w:sz w:val="32"/>
          <w:szCs w:val="32"/>
        </w:rPr>
      </w:pPr>
      <w:r>
        <w:rPr>
          <w:rFonts w:hint="default" w:ascii="Times New Roman" w:hAnsi="Times New Roman" w:eastAsia="楷体_GB2312" w:cs="Times New Roman"/>
          <w:sz w:val="32"/>
          <w:szCs w:val="32"/>
        </w:rPr>
        <w:t>（1）收入预算：</w:t>
      </w:r>
      <w:r>
        <w:rPr>
          <w:rFonts w:hint="default" w:ascii="Times New Roman" w:hAnsi="Times New Roman" w:eastAsia="仿宋_GB2312" w:cs="Times New Roman"/>
          <w:sz w:val="32"/>
          <w:szCs w:val="32"/>
        </w:rPr>
        <w:t>2021年年初预算数841.69万元，其中，一般公共预算拨款841.69万元。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（2）支出预算：</w:t>
      </w:r>
      <w:r>
        <w:rPr>
          <w:rFonts w:hint="default" w:ascii="Times New Roman" w:hAnsi="Times New Roman" w:eastAsia="仿宋_GB2312" w:cs="Times New Roman"/>
          <w:sz w:val="32"/>
          <w:szCs w:val="32"/>
        </w:rPr>
        <w:t>2020年年初预算数841.69 万元，其中，社会保障和就业支出841.69万元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2、2021年度单位一般公共预算财政拨款收入</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2021年度单位一般公共预算财政拨款收入1310.36万元。</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3、2021年度单位一般公共预算财政拨款支出1310.36万元，其中：项目支出703.53万元，基本支出606.83万元，其中：人员经费539.81万元，公用经费67.02万元。</w:t>
      </w:r>
    </w:p>
    <w:p>
      <w:pPr>
        <w:pStyle w:val="8"/>
        <w:keepNext w:val="0"/>
        <w:keepLines w:val="0"/>
        <w:pageBreakBefore w:val="0"/>
        <w:widowControl w:val="0"/>
        <w:numPr>
          <w:ilvl w:val="0"/>
          <w:numId w:val="2"/>
        </w:numPr>
        <w:kinsoku/>
        <w:wordWrap/>
        <w:overflowPunct/>
        <w:autoSpaceDE/>
        <w:autoSpaceDN/>
        <w:bidi w:val="0"/>
        <w:spacing w:line="560" w:lineRule="exact"/>
        <w:ind w:left="0" w:leftChars="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1、招考工作和人事人才项目支出38.21万元；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2、互联网+人社平台（3140智慧人社)项目支出32.27万元；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3、劳动保障监察、仲裁综合执法及办案经费项目支出4.99万元；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4、社保征缴、扩面等专项项目支出37.68万元；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5、退休人员生存认证专项项目支出0.61万元；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6、民生100工程专项项目支出7.06万元；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7、国有企业退休人员社会化管理33.98万元；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8、就业资金项目支出545.72万元；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9、禁捕退捕工作经费3.01万元；</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无</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无</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无</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2021年，我局整体支出绩效良好，全面完成相关绩效目标任务，所有相关考核指标达标。</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1、稳定全区就业大盘。</w:t>
      </w:r>
      <w:r>
        <w:rPr>
          <w:rFonts w:hint="default" w:ascii="Times New Roman" w:hAnsi="Times New Roman" w:eastAsia="仿宋_GB2312" w:cs="Times New Roman"/>
          <w:color w:val="000000"/>
          <w:sz w:val="32"/>
          <w:szCs w:val="32"/>
        </w:rPr>
        <w:t>充分发挥区稳就业保就业工作领导小组统筹职能，多方落实稳岗政策，精准帮扶重点群体，累计新增城镇就业13697人，城镇登记失业率控制在4.5%以内，全区就业态势稳定。开展“三个建设”保障就业。一是充分社区建设。全区申请创建10个省级充分就业社区（村），其中，七斗冲社区已被推荐申报第五批国家级充分就业社区。二是劳务品牌建设。打造“芦淞服饰人”特色劳务品牌，获评2021年度株洲市特色劳务品牌建设单位。三是服务能力建设。出台《内部控制管理工作手册》，逐步形成“一级培一级、定期日常相结合”的培训机制，提升基层专干经办能力和服务水平。打造“两个牵引”促进就业。一是以培训为牵引，组织开展就业创业培训，目前已完成技能提升培训培训6225人次、开展创业培训1286人次。二是以孵化基地为牵引，重点打造株洲服饰创意创业孵化基地，目前全区有省级创业孵化基地2家、市级创业孵化基地3家、区级孵化基地5家。</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2、优化人事人才队伍。</w:t>
      </w:r>
      <w:r>
        <w:rPr>
          <w:rFonts w:hint="default" w:ascii="Times New Roman" w:hAnsi="Times New Roman" w:eastAsia="仿宋_GB2312" w:cs="Times New Roman"/>
          <w:color w:val="000000"/>
          <w:sz w:val="32"/>
          <w:szCs w:val="32"/>
        </w:rPr>
        <w:t>开展面向高校招聘、社会公开招聘以及三支一扶等招考工作，为全区招聘事业单位工作人员192人，招聘教师137人。组织有就业意愿的辖区居民走进重点企业，将“零距离”招聘会开到企业车间，今年已为辖区企业引进57位关键人才，为425家企业提供招聘2209人。建立我区人事人才信息平台，通过数据共享、业务协同等方式，实现人事工作跨业务、跨部门简化办理。出台人事管理规范性文件，开展编外人员摸底清查工作，开展档案专项审核工作，提升了机关人员队伍管理水平。</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3、有序推进社会保障</w:t>
      </w:r>
      <w:r>
        <w:rPr>
          <w:rFonts w:hint="default" w:ascii="Times New Roman" w:hAnsi="Times New Roman" w:eastAsia="仿宋_GB2312" w:cs="Times New Roman"/>
          <w:color w:val="000000"/>
          <w:sz w:val="32"/>
          <w:szCs w:val="32"/>
        </w:rPr>
        <w:t>。一是专项整治维护社保基金安全。认真按照上级安排部署开展社会保险基金整治及养老保险待遇“回头看”工作，在全面自查、对点清查的同时对全区23.9万人的参保、待遇、社保卡情况进行核查，已整改2509人，追回金额161.22万元，综合整改率约90%。二是多渠道扩面推动全民参保。与税务部门合作扩面，督促企业依法为职工全险种参保；利用养老保险待遇核查“回头看”成果，精准锁定未参保人群，鼓励动员其积极参保。三是兜牢民生保障底线。实现连续17年企业退休人员基本养老金待遇持续增长，今年人均增资98.25元/月；同步调整机关事业单位基本养老金水平；延续实施失业保险扩围政策，共为1037人发放失业补助金153万元。</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4.构建和谐劳动关系。</w:t>
      </w:r>
      <w:r>
        <w:rPr>
          <w:rFonts w:hint="default" w:ascii="Times New Roman" w:hAnsi="Times New Roman" w:eastAsia="仿宋_GB2312" w:cs="Times New Roman"/>
          <w:color w:val="000000"/>
          <w:sz w:val="32"/>
          <w:szCs w:val="32"/>
        </w:rPr>
        <w:t>联合区司法局、区法院、街道（镇）构建矛盾调解、法律咨询、立案等“一站式”联动化解农民工欠薪问题工作机制，最大限度降低农民工维权成本和门槛，目前“一站式”解决了70多个案件。开展根治欠薪冬季攻坚行动，对辖区29个在建项目“一金三制”落实情况进行摸排，确保政府性投资项目、国企投资项目农民工工资零拖欠。强化服饰加工、洗水及餐饮娱乐等重点行业的监管及巡查力度。截至目前，共处理劳动投诉举报263件，涉案金额约301万元，为劳动者追回劳动报酬159万元。</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5.办好一批民生实事制定推进措施，分解量化目标任务，夯实工作责任。</w:t>
      </w:r>
      <w:r>
        <w:rPr>
          <w:rFonts w:hint="default" w:ascii="Times New Roman" w:hAnsi="Times New Roman" w:eastAsia="仿宋_GB2312" w:cs="Times New Roman"/>
          <w:color w:val="000000"/>
          <w:sz w:val="32"/>
          <w:szCs w:val="32"/>
        </w:rPr>
        <w:t>强化督促检查，实地查看项目进度，查质量、查效果，督促各项实事项目有序推进。</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rPr>
        <w:t>1、招考工作和人事人才项目</w:t>
      </w:r>
      <w:r>
        <w:rPr>
          <w:rFonts w:hint="default" w:ascii="Times New Roman" w:hAnsi="Times New Roman" w:eastAsia="仿宋" w:cs="Times New Roman"/>
          <w:sz w:val="32"/>
          <w:szCs w:val="32"/>
        </w:rPr>
        <w:t>：一是开展全区事业单位档案专项审核工作；二是</w:t>
      </w:r>
      <w:r>
        <w:rPr>
          <w:rFonts w:hint="default" w:ascii="Times New Roman" w:hAnsi="Times New Roman" w:eastAsia="仿宋_GB2312" w:cs="Times New Roman"/>
          <w:sz w:val="32"/>
          <w:szCs w:val="32"/>
        </w:rPr>
        <w:t>开展全区事业单位公开招聘工作为全区事业单位补充新鲜血液，继续优化事业单位人员队伍结构，全区共招聘事业单位工作人员192人，其中区属事业单位面向高校公开招聘34人，面向社会公开招聘（选调）18人；“三支一扶”招募3人；三是区属学校面向高校招聘79人，面向有经验教师已招聘58人；出台《芦淞区机关事业单位人事管理相关问题规范》（芦组发〔2021〕21号）等各项规范文件；四是继续推进职称改革工作。加强全区教育系统职称管理，我区于三月底四月初申报资深乡村教师17人，基层中小学高级教师上报15人，市级评审通过8人；组织我区基层中小学中级教师申报2人，评审通过1人，目前中小学教师高级参评36人，5名资深乡村教师，中级参评教师63人；五是利用“互联网+”助推政府内部办事效率，通过数据共享、业务协同等方式，推进人事工作跨业务、跨部门简化办理，建立我区人事人才信息平台。</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2、</w:t>
      </w:r>
      <w:r>
        <w:rPr>
          <w:rFonts w:hint="default" w:ascii="Times New Roman" w:hAnsi="Times New Roman" w:eastAsia="仿宋" w:cs="Times New Roman"/>
          <w:b/>
          <w:bCs/>
          <w:sz w:val="32"/>
          <w:szCs w:val="32"/>
        </w:rPr>
        <w:t>互联网+人社平台（3140智慧人社)项目</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3140智慧人社”服务平台建设聚焦民生打包办件，减负“一网通办”，扩充“3140智慧人社”服务平台模块，搭建3140智慧人社+平台全区事业单位管理系统，将事业单位基本信息管理、职称、工资、岗位设置、编外人员以及其他业务整合。按照“清事项、减材料、压时限”要求，以现有“3140智慧人社”公共服务平台为基础，建立打包快办流程模型，整合社保多险、公共就业、劳动备案、人事人才、社保卡卡管等多套经办系统，实现企业群众眼里的10个一件事单点登录、在线通办。</w:t>
      </w:r>
    </w:p>
    <w:p>
      <w:pPr>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rPr>
        <w:t>3、</w:t>
      </w:r>
      <w:r>
        <w:rPr>
          <w:rFonts w:hint="default" w:ascii="Times New Roman" w:hAnsi="Times New Roman" w:eastAsia="仿宋_GB2312" w:cs="Times New Roman"/>
          <w:b/>
          <w:bCs/>
          <w:sz w:val="32"/>
          <w:szCs w:val="32"/>
        </w:rPr>
        <w:t>劳动保障监察、仲裁综合执法及办案项目</w:t>
      </w:r>
      <w:r>
        <w:rPr>
          <w:rFonts w:hint="default" w:ascii="Times New Roman" w:hAnsi="Times New Roman" w:eastAsia="仿宋_GB2312" w:cs="Times New Roman"/>
          <w:sz w:val="32"/>
          <w:szCs w:val="32"/>
        </w:rPr>
        <w:t>：全年共处理劳动投诉举报263件，涉及劳动者576人，涉案金额 约301万元，为劳动者追回劳动报酬159万元。劳动争议仲裁立案处理180件，涉及劳动者195人，当期结案达164件。共处理网上信访件10件，市长热线60件，人社部欠薪线索核处系统交办82件，湖南省劳动保障监察两网化系统交办投诉33件。检查在建建筑工地26个，加工制造企业39家，其他用人单位64家，涉及农民工5700多人，劳动保障监察立案5件，协调欠薪投诉案件42件，为145名农民工追回工资88.7万元。对辖区29个在建在建项目“一金三制”落实情况开展了地毯式巡查摸排，发出限期整改指令书5份。</w:t>
      </w:r>
    </w:p>
    <w:p>
      <w:pPr>
        <w:keepNext w:val="0"/>
        <w:keepLines w:val="0"/>
        <w:pageBreakBefore w:val="0"/>
        <w:widowControl w:val="0"/>
        <w:kinsoku/>
        <w:wordWrap/>
        <w:overflowPunct/>
        <w:topLinePunct/>
        <w:autoSpaceDE/>
        <w:autoSpaceDN/>
        <w:bidi w:val="0"/>
        <w:spacing w:line="560" w:lineRule="exact"/>
        <w:ind w:left="0" w:leftChars="0" w:firstLine="643" w:firstLineChars="200"/>
        <w:jc w:val="both"/>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 w:cs="Times New Roman"/>
          <w:b/>
          <w:bCs/>
          <w:sz w:val="32"/>
          <w:szCs w:val="32"/>
        </w:rPr>
        <w:t>社保征缴、扩面等专项项目</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lang w:val="zh-TW" w:bidi="zh-TW"/>
        </w:rPr>
        <w:t>一是扩大参保扩面覆盖范围，重点将新业态从业人员、未参保居民等纳入参保范围，同时引导更多群体参保；二是营造良好参保氛围。通过发放宣传册、走村入户等方式加大宣传力度，抓好社会保险宣传动员，促进参保扩面；三是利用养老保险待遇核查“回头看”成果，精准锁定未参保人群，鼓励动员其积极参保。</w:t>
      </w:r>
      <w:r>
        <w:rPr>
          <w:rFonts w:hint="default" w:ascii="Times New Roman" w:hAnsi="Times New Roman" w:eastAsia="仿宋_GB2312" w:cs="Times New Roman"/>
          <w:sz w:val="32"/>
          <w:szCs w:val="32"/>
          <w:lang w:val="zh-TW" w:eastAsia="zh-TW" w:bidi="zh-TW"/>
        </w:rPr>
        <w:t>截</w:t>
      </w:r>
      <w:r>
        <w:rPr>
          <w:rFonts w:hint="default" w:ascii="Times New Roman" w:hAnsi="Times New Roman" w:eastAsia="仿宋_GB2312" w:cs="Times New Roman"/>
          <w:sz w:val="32"/>
          <w:szCs w:val="32"/>
        </w:rPr>
        <w:t>至9月底，企业职工基本养老保</w:t>
      </w:r>
      <w:r>
        <w:rPr>
          <w:rFonts w:hint="default" w:ascii="Times New Roman" w:hAnsi="Times New Roman" w:eastAsia="仿宋_GB2312" w:cs="Times New Roman"/>
          <w:color w:val="000000" w:themeColor="text1"/>
          <w:sz w:val="32"/>
          <w:szCs w:val="32"/>
          <w14:textFill>
            <w14:solidFill>
              <w14:schemeClr w14:val="tx1"/>
            </w14:solidFill>
          </w14:textFill>
        </w:rPr>
        <w:t>险参保单位1253家，参保人员55595人。其中</w:t>
      </w:r>
      <w:r>
        <w:rPr>
          <w:rFonts w:hint="default" w:ascii="Times New Roman" w:hAnsi="Times New Roman" w:eastAsia="仿宋_GB2312" w:cs="Times New Roman"/>
          <w:sz w:val="32"/>
          <w:szCs w:val="32"/>
        </w:rPr>
        <w:t>，今年新增参保单位274家；全年新增参</w:t>
      </w:r>
      <w:r>
        <w:rPr>
          <w:rFonts w:hint="default" w:ascii="Times New Roman" w:hAnsi="Times New Roman" w:eastAsia="仿宋_GB2312" w:cs="Times New Roman"/>
          <w:color w:val="000000" w:themeColor="text1"/>
          <w:sz w:val="32"/>
          <w:szCs w:val="32"/>
          <w14:textFill>
            <w14:solidFill>
              <w14:schemeClr w14:val="tx1"/>
            </w14:solidFill>
          </w14:textFill>
        </w:rPr>
        <w:t>保人员目标任务数2600人，实际完成2634人，占目标任务101.3%；全年基金征缴13701.48万元。</w:t>
      </w:r>
      <w:r>
        <w:rPr>
          <w:rFonts w:hint="default" w:ascii="Times New Roman" w:hAnsi="Times New Roman" w:eastAsia="仿宋_GB2312" w:cs="Times New Roman"/>
          <w:sz w:val="32"/>
          <w:szCs w:val="32"/>
        </w:rPr>
        <w:t>失业保险参保单</w:t>
      </w:r>
      <w:r>
        <w:rPr>
          <w:rFonts w:hint="default" w:ascii="Times New Roman" w:hAnsi="Times New Roman" w:eastAsia="仿宋_GB2312" w:cs="Times New Roman"/>
          <w:color w:val="000000" w:themeColor="text1"/>
          <w:sz w:val="32"/>
          <w:szCs w:val="32"/>
          <w14:textFill>
            <w14:solidFill>
              <w14:schemeClr w14:val="tx1"/>
            </w14:solidFill>
          </w14:textFill>
        </w:rPr>
        <w:t>位1409</w:t>
      </w:r>
      <w:r>
        <w:rPr>
          <w:rFonts w:hint="default" w:ascii="Times New Roman" w:hAnsi="Times New Roman" w:eastAsia="仿宋_GB2312" w:cs="Times New Roman"/>
          <w:sz w:val="32"/>
          <w:szCs w:val="32"/>
        </w:rPr>
        <w:t>家，其中，今年新增参保单位274家；全年参保人</w:t>
      </w:r>
      <w:r>
        <w:rPr>
          <w:rFonts w:hint="default" w:ascii="Times New Roman" w:hAnsi="Times New Roman" w:eastAsia="仿宋_GB2312" w:cs="Times New Roman"/>
          <w:color w:val="000000" w:themeColor="text1"/>
          <w:sz w:val="32"/>
          <w:szCs w:val="32"/>
          <w14:textFill>
            <w14:solidFill>
              <w14:schemeClr w14:val="tx1"/>
            </w14:solidFill>
          </w14:textFill>
        </w:rPr>
        <w:t>数目标任务1.565万人，实际完成1.637万人，占目标任务的104.6%。</w:t>
      </w:r>
      <w:r>
        <w:rPr>
          <w:rFonts w:hint="default" w:ascii="Times New Roman" w:hAnsi="Times New Roman" w:eastAsia="仿宋_GB2312" w:cs="Times New Roman"/>
          <w:sz w:val="32"/>
          <w:szCs w:val="32"/>
        </w:rPr>
        <w:t>城乡居民基本养老保险（以下简称城乡居保）参保总人</w:t>
      </w:r>
      <w:r>
        <w:rPr>
          <w:rFonts w:hint="default" w:ascii="Times New Roman" w:hAnsi="Times New Roman" w:eastAsia="仿宋_GB2312" w:cs="Times New Roman"/>
          <w:color w:val="000000" w:themeColor="text1"/>
          <w:sz w:val="32"/>
          <w:szCs w:val="32"/>
          <w14:textFill>
            <w14:solidFill>
              <w14:schemeClr w14:val="tx1"/>
            </w14:solidFill>
          </w14:textFill>
        </w:rPr>
        <w:t>数35261人；</w:t>
      </w:r>
      <w:r>
        <w:rPr>
          <w:rFonts w:hint="default" w:ascii="Times New Roman" w:hAnsi="Times New Roman" w:eastAsia="仿宋_GB2312" w:cs="Times New Roman"/>
          <w:sz w:val="32"/>
          <w:szCs w:val="32"/>
        </w:rPr>
        <w:t>今年新增参保人数80人，现已缴2021年保费人数为3412人</w:t>
      </w:r>
      <w:r>
        <w:rPr>
          <w:rFonts w:hint="default" w:ascii="Times New Roman" w:hAnsi="Times New Roman" w:eastAsia="仿宋_GB2312" w:cs="Times New Roman"/>
          <w:color w:val="000000" w:themeColor="text1"/>
          <w:sz w:val="32"/>
          <w:szCs w:val="32"/>
          <w14:textFill>
            <w14:solidFill>
              <w14:schemeClr w14:val="tx1"/>
            </w14:solidFill>
          </w14:textFill>
        </w:rPr>
        <w:t>。机关事业单位养老保险新制度参保单位129家，参保人员3803人。职业年金记实110家参保单位，172名参保人员。</w:t>
      </w:r>
    </w:p>
    <w:p>
      <w:pPr>
        <w:pStyle w:val="8"/>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5、退休人员生存认证专项</w:t>
      </w:r>
      <w:r>
        <w:rPr>
          <w:rFonts w:hint="default" w:ascii="Times New Roman" w:hAnsi="Times New Roman" w:eastAsia="仿宋" w:cs="Times New Roman"/>
          <w:sz w:val="32"/>
          <w:szCs w:val="32"/>
        </w:rPr>
        <w:t>：对全区机关事业单位退休人员进行生存认证，防止死亡冒领。</w:t>
      </w:r>
    </w:p>
    <w:p>
      <w:pPr>
        <w:pStyle w:val="8"/>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6、民生100工程专项项目</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制定推进措施，分解量化目标任务，夯实工作责任。强化督促检查，实地查看项目进度，查质量、查效果，督促各项实事项目有序推进。</w:t>
      </w:r>
    </w:p>
    <w:p>
      <w:pPr>
        <w:pStyle w:val="8"/>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7、国有企业退休人员社会化管理专项</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加强退休人员档案管理。</w:t>
      </w:r>
    </w:p>
    <w:p>
      <w:pPr>
        <w:pStyle w:val="8"/>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8、就业资金项目</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为上级转拨资金。</w:t>
      </w:r>
    </w:p>
    <w:p>
      <w:pPr>
        <w:pStyle w:val="8"/>
        <w:keepNext w:val="0"/>
        <w:keepLines w:val="0"/>
        <w:pageBreakBefore w:val="0"/>
        <w:widowControl w:val="0"/>
        <w:kinsoku/>
        <w:wordWrap/>
        <w:overflowPunct/>
        <w:autoSpaceDE/>
        <w:autoSpaceDN/>
        <w:bidi w:val="0"/>
        <w:spacing w:line="560" w:lineRule="exact"/>
        <w:ind w:left="0" w:leftChars="0" w:firstLine="643"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9、禁捕退捕项目</w:t>
      </w:r>
      <w:r>
        <w:rPr>
          <w:rFonts w:hint="default" w:ascii="Times New Roman" w:hAnsi="Times New Roman" w:eastAsia="仿宋" w:cs="Times New Roman"/>
          <w:sz w:val="32"/>
          <w:szCs w:val="32"/>
        </w:rPr>
        <w:t>：充分保障渔民合法权益，积极稳妥引导退捕渔民转产转业，让渔民退得出、稳得住、逐步能致富。</w:t>
      </w:r>
    </w:p>
    <w:p>
      <w:pPr>
        <w:pStyle w:val="8"/>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资金支出进度分配不均匀，有待进一步加强。</w:t>
      </w:r>
    </w:p>
    <w:p>
      <w:pPr>
        <w:keepNext w:val="0"/>
        <w:keepLines w:val="0"/>
        <w:pageBreakBefore w:val="0"/>
        <w:widowControl w:val="0"/>
        <w:numPr>
          <w:ilvl w:val="0"/>
          <w:numId w:val="3"/>
        </w:numPr>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进一步规范我局预决算管理，加强预算绩算绩效日常监控，围绕绩效目标，适时监控绩效目标实现程度和预算执行情况，及时掌握绩效运行情况、资金支出进度等。合理安排支出项目，全面提高财政资金使用效益。</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eastAsia" w:eastAsia="仿宋_GB2312" w:cs="Times New Roman"/>
          <w:sz w:val="32"/>
          <w:szCs w:val="32"/>
          <w:lang w:eastAsia="zh-CN"/>
        </w:rPr>
      </w:pPr>
      <w:r>
        <w:rPr>
          <w:rFonts w:hint="eastAsia" w:eastAsia="仿宋_GB2312" w:cs="Times New Roman"/>
          <w:sz w:val="32"/>
          <w:szCs w:val="32"/>
          <w:lang w:eastAsia="zh-CN"/>
        </w:rPr>
        <w:t>自评结果将在芦淞区政府门户网上统一公示公开，接受社会监督。</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autoSpaceDE/>
        <w:autoSpaceDN/>
        <w:bidi w:val="0"/>
        <w:spacing w:line="560" w:lineRule="exact"/>
        <w:ind w:left="0" w:leftChars="0" w:firstLine="640" w:firstLineChars="200"/>
        <w:jc w:val="both"/>
        <w:rPr>
          <w:rFonts w:hint="default" w:ascii="Times New Roman" w:hAnsi="Times New Roman" w:cs="Times New Roman"/>
        </w:rPr>
      </w:pPr>
      <w:r>
        <w:rPr>
          <w:rFonts w:hint="default" w:ascii="Times New Roman" w:hAnsi="Times New Roman" w:eastAsia="黑体" w:cs="Times New Roman"/>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C78A6"/>
    <w:multiLevelType w:val="singleLevel"/>
    <w:tmpl w:val="300C78A6"/>
    <w:lvl w:ilvl="0" w:tentative="0">
      <w:start w:val="2"/>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abstractNum w:abstractNumId="2">
    <w:nsid w:val="4E91D29F"/>
    <w:multiLevelType w:val="singleLevel"/>
    <w:tmpl w:val="4E91D29F"/>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7D0BBA"/>
    <w:rsid w:val="00004E70"/>
    <w:rsid w:val="000079DE"/>
    <w:rsid w:val="000222AC"/>
    <w:rsid w:val="00053653"/>
    <w:rsid w:val="000556F3"/>
    <w:rsid w:val="00067E87"/>
    <w:rsid w:val="00116FE5"/>
    <w:rsid w:val="00125280"/>
    <w:rsid w:val="00173065"/>
    <w:rsid w:val="001B345A"/>
    <w:rsid w:val="001C32FB"/>
    <w:rsid w:val="001F74B9"/>
    <w:rsid w:val="00207FA3"/>
    <w:rsid w:val="0023079C"/>
    <w:rsid w:val="00282CD3"/>
    <w:rsid w:val="002C36F3"/>
    <w:rsid w:val="002F7FCB"/>
    <w:rsid w:val="00333711"/>
    <w:rsid w:val="00350922"/>
    <w:rsid w:val="003925F9"/>
    <w:rsid w:val="003A0835"/>
    <w:rsid w:val="003D45AD"/>
    <w:rsid w:val="00422849"/>
    <w:rsid w:val="00440AC5"/>
    <w:rsid w:val="004D1A36"/>
    <w:rsid w:val="005516F6"/>
    <w:rsid w:val="00561054"/>
    <w:rsid w:val="00593C7D"/>
    <w:rsid w:val="005A433C"/>
    <w:rsid w:val="005B7D5D"/>
    <w:rsid w:val="005F034E"/>
    <w:rsid w:val="00622616"/>
    <w:rsid w:val="0064278F"/>
    <w:rsid w:val="00647A93"/>
    <w:rsid w:val="00652CFB"/>
    <w:rsid w:val="006B0252"/>
    <w:rsid w:val="006B17E2"/>
    <w:rsid w:val="006C0D1C"/>
    <w:rsid w:val="006E32C0"/>
    <w:rsid w:val="007009B2"/>
    <w:rsid w:val="00740BE8"/>
    <w:rsid w:val="0075446C"/>
    <w:rsid w:val="00765DC8"/>
    <w:rsid w:val="007D0BBA"/>
    <w:rsid w:val="008034D9"/>
    <w:rsid w:val="008101C7"/>
    <w:rsid w:val="0084620F"/>
    <w:rsid w:val="008A5FE8"/>
    <w:rsid w:val="008C62A7"/>
    <w:rsid w:val="00961B85"/>
    <w:rsid w:val="00970CCC"/>
    <w:rsid w:val="00974A9C"/>
    <w:rsid w:val="009A6AFF"/>
    <w:rsid w:val="009D16F2"/>
    <w:rsid w:val="009D360B"/>
    <w:rsid w:val="00A01E31"/>
    <w:rsid w:val="00A11A09"/>
    <w:rsid w:val="00A47E50"/>
    <w:rsid w:val="00A56C8A"/>
    <w:rsid w:val="00A70D00"/>
    <w:rsid w:val="00A976C8"/>
    <w:rsid w:val="00AB1275"/>
    <w:rsid w:val="00B00CD8"/>
    <w:rsid w:val="00B01CB9"/>
    <w:rsid w:val="00BA0833"/>
    <w:rsid w:val="00C252ED"/>
    <w:rsid w:val="00C5156A"/>
    <w:rsid w:val="00C54400"/>
    <w:rsid w:val="00C56388"/>
    <w:rsid w:val="00C6778E"/>
    <w:rsid w:val="00CC1A83"/>
    <w:rsid w:val="00D3173F"/>
    <w:rsid w:val="00D41845"/>
    <w:rsid w:val="00D5092F"/>
    <w:rsid w:val="00D5298A"/>
    <w:rsid w:val="00D6766A"/>
    <w:rsid w:val="00DD068A"/>
    <w:rsid w:val="00DE7FF6"/>
    <w:rsid w:val="00DF0283"/>
    <w:rsid w:val="00E37D39"/>
    <w:rsid w:val="00E55161"/>
    <w:rsid w:val="00E857E7"/>
    <w:rsid w:val="00E9714E"/>
    <w:rsid w:val="00EA6B74"/>
    <w:rsid w:val="00EB6F49"/>
    <w:rsid w:val="00ED0ECD"/>
    <w:rsid w:val="00EE7974"/>
    <w:rsid w:val="00F17872"/>
    <w:rsid w:val="00F829D5"/>
    <w:rsid w:val="00F91185"/>
    <w:rsid w:val="00FA7A97"/>
    <w:rsid w:val="00FC0865"/>
    <w:rsid w:val="00FD7CF5"/>
    <w:rsid w:val="015876FF"/>
    <w:rsid w:val="016976BE"/>
    <w:rsid w:val="01A6665B"/>
    <w:rsid w:val="01EF5276"/>
    <w:rsid w:val="02665DCF"/>
    <w:rsid w:val="02A86D87"/>
    <w:rsid w:val="02AE4CCA"/>
    <w:rsid w:val="02D92DDA"/>
    <w:rsid w:val="03287320"/>
    <w:rsid w:val="03AE3AC0"/>
    <w:rsid w:val="03EA6449"/>
    <w:rsid w:val="03FA6217"/>
    <w:rsid w:val="046063A3"/>
    <w:rsid w:val="04747CF2"/>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146CB2"/>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103B3B"/>
    <w:rsid w:val="1047492D"/>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685EFA"/>
    <w:rsid w:val="2AC43DDE"/>
    <w:rsid w:val="2AEF4956"/>
    <w:rsid w:val="2B1C41DD"/>
    <w:rsid w:val="2BBE35CD"/>
    <w:rsid w:val="2BD6382B"/>
    <w:rsid w:val="2C7A0558"/>
    <w:rsid w:val="2C933EBB"/>
    <w:rsid w:val="2CD65743"/>
    <w:rsid w:val="2CDF6E04"/>
    <w:rsid w:val="2D284D02"/>
    <w:rsid w:val="2D3A266F"/>
    <w:rsid w:val="2D8470B0"/>
    <w:rsid w:val="2D85399E"/>
    <w:rsid w:val="2DC65E1F"/>
    <w:rsid w:val="2DF720F5"/>
    <w:rsid w:val="2E0E6192"/>
    <w:rsid w:val="2E1C0F3D"/>
    <w:rsid w:val="2E69253C"/>
    <w:rsid w:val="2EEF2198"/>
    <w:rsid w:val="2F0246FC"/>
    <w:rsid w:val="2F080155"/>
    <w:rsid w:val="30343502"/>
    <w:rsid w:val="30470CFF"/>
    <w:rsid w:val="306918BE"/>
    <w:rsid w:val="30A37680"/>
    <w:rsid w:val="30C814E3"/>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431D54"/>
    <w:rsid w:val="38A54053"/>
    <w:rsid w:val="38D37D37"/>
    <w:rsid w:val="39312765"/>
    <w:rsid w:val="393A2055"/>
    <w:rsid w:val="399C1F0E"/>
    <w:rsid w:val="3A003CFF"/>
    <w:rsid w:val="3A1339C4"/>
    <w:rsid w:val="3AF63590"/>
    <w:rsid w:val="3B06110B"/>
    <w:rsid w:val="3B9B7004"/>
    <w:rsid w:val="3BCF551C"/>
    <w:rsid w:val="3C6548BB"/>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3A23DD3"/>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9CB1BAA"/>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6A1991"/>
    <w:rsid w:val="4EE91176"/>
    <w:rsid w:val="4EF96755"/>
    <w:rsid w:val="4EFF6E71"/>
    <w:rsid w:val="4F7317CB"/>
    <w:rsid w:val="4F7C135A"/>
    <w:rsid w:val="4FC01EDA"/>
    <w:rsid w:val="50281CF3"/>
    <w:rsid w:val="509154B6"/>
    <w:rsid w:val="50BB4683"/>
    <w:rsid w:val="50EC10F9"/>
    <w:rsid w:val="5177797E"/>
    <w:rsid w:val="52F6075F"/>
    <w:rsid w:val="53086FF5"/>
    <w:rsid w:val="531225F7"/>
    <w:rsid w:val="534D0228"/>
    <w:rsid w:val="53AB142E"/>
    <w:rsid w:val="54207C51"/>
    <w:rsid w:val="54B0031A"/>
    <w:rsid w:val="54DA727F"/>
    <w:rsid w:val="54E65F5A"/>
    <w:rsid w:val="555B30CE"/>
    <w:rsid w:val="557D2E1D"/>
    <w:rsid w:val="55804F6C"/>
    <w:rsid w:val="564516B7"/>
    <w:rsid w:val="56685DC5"/>
    <w:rsid w:val="567C109E"/>
    <w:rsid w:val="567E6210"/>
    <w:rsid w:val="56933523"/>
    <w:rsid w:val="56BA55C6"/>
    <w:rsid w:val="57124CDD"/>
    <w:rsid w:val="576D1203"/>
    <w:rsid w:val="57837BDE"/>
    <w:rsid w:val="57935E95"/>
    <w:rsid w:val="57EF44C3"/>
    <w:rsid w:val="58152013"/>
    <w:rsid w:val="58CE683B"/>
    <w:rsid w:val="59A40B9B"/>
    <w:rsid w:val="5A3C1A0D"/>
    <w:rsid w:val="5A6A2A29"/>
    <w:rsid w:val="5A9244F7"/>
    <w:rsid w:val="5AF97A89"/>
    <w:rsid w:val="5B352171"/>
    <w:rsid w:val="5B514882"/>
    <w:rsid w:val="5B5C757D"/>
    <w:rsid w:val="5B6B124E"/>
    <w:rsid w:val="5C4E1551"/>
    <w:rsid w:val="5D155819"/>
    <w:rsid w:val="5D656D7E"/>
    <w:rsid w:val="5DCE0C96"/>
    <w:rsid w:val="5DE454AE"/>
    <w:rsid w:val="5DEC70B2"/>
    <w:rsid w:val="5E14056F"/>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505D9E"/>
    <w:rsid w:val="6D6D6826"/>
    <w:rsid w:val="6D9E11D0"/>
    <w:rsid w:val="6DCC19D2"/>
    <w:rsid w:val="6E224140"/>
    <w:rsid w:val="6E2E58DF"/>
    <w:rsid w:val="6E987E4E"/>
    <w:rsid w:val="6EE044A0"/>
    <w:rsid w:val="6F0F7BD0"/>
    <w:rsid w:val="6F1D59CD"/>
    <w:rsid w:val="6FE61A56"/>
    <w:rsid w:val="704C412C"/>
    <w:rsid w:val="70AD1C74"/>
    <w:rsid w:val="711C4732"/>
    <w:rsid w:val="72696BF8"/>
    <w:rsid w:val="72BE3FE8"/>
    <w:rsid w:val="734F28D5"/>
    <w:rsid w:val="734F3820"/>
    <w:rsid w:val="73F11B0B"/>
    <w:rsid w:val="7455119F"/>
    <w:rsid w:val="749B7B08"/>
    <w:rsid w:val="74B015AB"/>
    <w:rsid w:val="74BF00CF"/>
    <w:rsid w:val="74CF5344"/>
    <w:rsid w:val="75786376"/>
    <w:rsid w:val="75C2264E"/>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pacing w:after="120"/>
      <w:ind w:left="420" w:leftChars="20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2"/>
    <w:qFormat/>
    <w:uiPriority w:val="0"/>
    <w:pPr>
      <w:spacing w:after="0" w:line="360" w:lineRule="auto"/>
      <w:ind w:left="0" w:leftChars="0" w:firstLine="420" w:firstLineChars="200"/>
    </w:pPr>
    <w:rPr>
      <w:rFonts w:ascii="方正仿宋_GBK" w:eastAsia="仿宋_GB2312"/>
      <w:sz w:val="32"/>
      <w:szCs w:val="32"/>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页眉 字符"/>
    <w:basedOn w:val="7"/>
    <w:link w:val="4"/>
    <w:uiPriority w:val="0"/>
    <w:rPr>
      <w:rFonts w:ascii="Times New Roman" w:hAnsi="Times New Roman" w:eastAsia="宋体" w:cs="Times New Roman"/>
      <w:kern w:val="2"/>
      <w:sz w:val="18"/>
      <w:szCs w:val="18"/>
    </w:rPr>
  </w:style>
  <w:style w:type="character" w:customStyle="1" w:styleId="10">
    <w:name w:val="页脚 字符"/>
    <w:basedOn w:val="7"/>
    <w:link w:val="3"/>
    <w:uiPriority w:val="0"/>
    <w:rPr>
      <w:rFonts w:ascii="Times New Roman" w:hAnsi="Times New Roman" w:eastAsia="宋体" w:cs="Times New Roman"/>
      <w:kern w:val="2"/>
      <w:sz w:val="18"/>
      <w:szCs w:val="18"/>
    </w:rPr>
  </w:style>
  <w:style w:type="character" w:customStyle="1" w:styleId="11">
    <w:name w:val="正文文本缩进 字符"/>
    <w:basedOn w:val="7"/>
    <w:link w:val="2"/>
    <w:qFormat/>
    <w:uiPriority w:val="0"/>
    <w:rPr>
      <w:rFonts w:ascii="Times New Roman" w:hAnsi="Times New Roman" w:eastAsia="宋体" w:cs="Times New Roman"/>
      <w:kern w:val="2"/>
      <w:sz w:val="21"/>
      <w:szCs w:val="24"/>
    </w:rPr>
  </w:style>
  <w:style w:type="character" w:customStyle="1" w:styleId="12">
    <w:name w:val="正文首行缩进 2 字符"/>
    <w:basedOn w:val="11"/>
    <w:link w:val="5"/>
    <w:qFormat/>
    <w:uiPriority w:val="0"/>
    <w:rPr>
      <w:rFonts w:ascii="方正仿宋_GBK"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5136</Words>
  <Characters>5458</Characters>
  <Lines>39</Lines>
  <Paragraphs>11</Paragraphs>
  <TotalTime>1</TotalTime>
  <ScaleCrop>false</ScaleCrop>
  <LinksUpToDate>false</LinksUpToDate>
  <CharactersWithSpaces>5460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2022-12-07T02:37:37Z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