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2021年度</w:t>
      </w:r>
      <w:r>
        <w:rPr>
          <w:rFonts w:hint="eastAsia" w:eastAsia="方正小标宋简体" w:cs="Times New Roman"/>
          <w:color w:val="000000" w:themeColor="text1"/>
          <w:sz w:val="44"/>
          <w:szCs w:val="44"/>
          <w:lang w:val="en-US" w:eastAsia="zh-CN"/>
          <w14:textFill>
            <w14:solidFill>
              <w14:schemeClr w14:val="tx1"/>
            </w14:solidFill>
          </w14:textFill>
        </w:rPr>
        <w:t>株洲市</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芦淞区科学技术协会</w:t>
      </w: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0" w:name="_GoBack"/>
      <w:bookmarkEnd w:id="0"/>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（一）区科协基本情况</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1、主要职能</w:t>
      </w:r>
    </w:p>
    <w:p>
      <w:pPr>
        <w:pStyle w:val="3"/>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落实中央、省、市、区关于科普工作的方针、政策，制定全区科普工作规划和年度科普工作计划。组织全区科技人员开展学术交流，活跃学术思想，促进科技事业发展。普及科学知识，捍卫科学尊严，传播科学思想和方法，推广先进技术。开展青少年科技教育活动，提高全民科学素质。反映科学技术工作者的意见和诉求，维护科学技术工作者的合法权益。开展民间科学技术交流活动，发展异地科学技术团体和科技工作者的友好往来。</w:t>
      </w:r>
    </w:p>
    <w:p>
      <w:pPr>
        <w:pStyle w:val="3"/>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指导、协调下属协会开展各项科技活动。完成区委、区政府交办的其他任务。</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2、机构设置</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芦淞区科学技术协会（以下简称区科协）是群团组织，为正科级。</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3、人员情况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区科协编制为3名。截止2021年12月，单位实有在职在编人员3人，临聘人员0人，退休人员0人。无固定期限人员1人。</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（二）区科协年度整体支出绩效目标，部门专项资金绩效目标、其他项目支出（除省级专项资金以外）绩效目标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1、年度整体支出绩效目标</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目标1：引导基层群众和全社会参加科学经济建设发展，营造大众创业、万众创新的浓厚氛围。</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目标2：积极开展农村实用技术培训，促进科普基地建设发展。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目标3：组织开展“全国科普日</w:t>
      </w:r>
      <w:r>
        <w:rPr>
          <w:rFonts w:hint="default" w:ascii="Times New Roman" w:hAnsi="Times New Roman" w:eastAsia="仿宋_GB2312" w:cs="Times New Roman"/>
          <w:sz w:val="32"/>
          <w:szCs w:val="32"/>
          <w:highlight w:val="none"/>
          <w:lang w:eastAsia="zh-CN"/>
        </w:rPr>
        <w:t>”、“科技活动周”</w:t>
      </w:r>
      <w:r>
        <w:rPr>
          <w:rFonts w:hint="default" w:ascii="Times New Roman" w:hAnsi="Times New Roman" w:eastAsia="仿宋_GB2312" w:cs="Times New Roman"/>
          <w:sz w:val="32"/>
          <w:szCs w:val="32"/>
          <w:highlight w:val="none"/>
        </w:rPr>
        <w:t xml:space="preserve">系列活动。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目标4：按时足额发放干部职工工资、津贴、缴纳政策</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性社会保障资金。</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2、其他项目支出（除省级专项资金以外）绩效目标</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科普经费：一是开展科普惠农兴村计划，提供农民就业机会，带动周边人员就业；二是开展社区科普益民计划活动，提高社区居民科普意识，丰富社区居民科学知识；宣传受众1万余人；三是联合相关系统开展科普科技系列活动2次，提高全民科学素质；四是开展全国科普日、老年科协科技活动、科技工作者慰问等活动；五是使服务对象满意度达到85%以上。</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b w:val="0"/>
          <w:bCs/>
          <w:sz w:val="32"/>
          <w:szCs w:val="32"/>
        </w:rPr>
        <w:t>1、</w:t>
      </w:r>
      <w:r>
        <w:rPr>
          <w:rFonts w:hint="default" w:ascii="Times New Roman" w:hAnsi="Times New Roman" w:eastAsia="仿宋" w:cs="Times New Roman"/>
          <w:color w:val="000000"/>
          <w:sz w:val="32"/>
          <w:szCs w:val="32"/>
        </w:rPr>
        <w:t>2021年预算资金101.57万元。</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2、2021年度单位一般公共预算财政拨款收入117.49万元。</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w:t>
      </w:r>
      <w:r>
        <w:rPr>
          <w:rFonts w:hint="eastAsia" w:eastAsia="仿宋" w:cs="Times New Roman"/>
          <w:sz w:val="32"/>
          <w:szCs w:val="32"/>
          <w:lang w:eastAsia="zh-CN"/>
        </w:rPr>
        <w:t>、</w:t>
      </w:r>
      <w:r>
        <w:rPr>
          <w:rFonts w:hint="default" w:ascii="Times New Roman" w:hAnsi="Times New Roman" w:eastAsia="仿宋" w:cs="Times New Roman"/>
          <w:sz w:val="32"/>
          <w:szCs w:val="32"/>
        </w:rPr>
        <w:t>2021年度单位一般公共预算财政拨款支出117.49万元，其中：项目支出55.31万元，基本支出62.18万元，其中：人员经费53.37万元，公用经费8.81万元。</w:t>
      </w:r>
    </w:p>
    <w:p>
      <w:pPr>
        <w:pStyle w:val="6"/>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2021年度项目支出合计55.31万元，其中科普经费项目支出52.36万元；老年科协2.95万元。</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ascii="Times New Roman" w:hAnsi="Times New Roman" w:eastAsia="仿宋"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ascii="Times New Roman" w:hAnsi="Times New Roman" w:eastAsia="仿宋"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2021年，芦淞区科协以习近平新时代中国特色社会主义思想为指导，在区委区政府的正确领导及市科协关心指导下，围绕中心，服务大局，坚持“四个服务”的职责定位，不断加大服务力度，创新工作方式方法，有效促进科协各项工作迈上新台阶。现将今年以来工作总结如下：</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1、围绕中心大局，推动经济科技深度融合</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充分发挥桥梁纽带作用和人才资源优势，聚焦经济发展，广泛搭建平台，服务产业促发展。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服务党委政府搭建建言献策平台。连续两年开展了“我为芦淞经济发展建言献策”活动，围绕航空、服饰、新材料、现代农业等重点领域积极建言献策，征集建议报告16篇，区科协进行了分类精选，汇编成册，及时报送区委、区政府和有关部门提供依据。今年, 芦淞区科协推荐的建言献策报告中，有2篇荣获市委“献言党代会，共建新株洲”献智献策活动优秀建言一等奖。区科协坚持一年一个主题，一年编辑一本成果交流材料，有力服务党委政府科学决策。同时，以“全国科技工作者日”为契机，与区委组织部、区科工信局联合举办 “最美科技工作者”评选，共评出16名“最美科技工作者”。通过这些活动的开展，有效地调动了全区广大科技工作者的积极性，使他们在科技、科普工作战线上发挥主观能动性，更好地为我区经济又好又快发展作出贡献。</w:t>
      </w:r>
    </w:p>
    <w:p>
      <w:pPr>
        <w:pStyle w:val="9"/>
        <w:keepNext w:val="0"/>
        <w:keepLines w:val="0"/>
        <w:pageBreakBefore w:val="0"/>
        <w:widowControl w:val="0"/>
        <w:tabs>
          <w:tab w:val="left" w:pos="966"/>
        </w:tabs>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2）聚焦乡村振兴搭建科普服务平台。以提高农民科学素质，促进农村经济发展为目的，区科协多次召开专题会议，认真研究并组织实施“基层科普行动计划”，建立并发展了一批农村科普示范基地，如东方四季果蔬基地、香之优农业科普示范基地等。积极发挥梁艳、邓建红等农村科普带头人作用，为农民群众提供智力支持，助力乡村振兴，同时带动周边农户共同致富。</w:t>
      </w:r>
    </w:p>
    <w:p>
      <w:pPr>
        <w:pStyle w:val="9"/>
        <w:keepNext w:val="0"/>
        <w:keepLines w:val="0"/>
        <w:pageBreakBefore w:val="0"/>
        <w:widowControl w:val="0"/>
        <w:tabs>
          <w:tab w:val="left" w:pos="966"/>
        </w:tabs>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3）整合政企资源搭建学习交流平台。区科协每月至少深入联系企业一线一次，多次召开科技工作者座谈会，走访慰问一线科技工作者，深入了解科技创新政策落实情况、企业经营发展情况和广大科技工作者的期待和要求，广泛征求意见建议，针对建议，区科协进行认真归纳梳理，积极衔接，建立了线上“芦淞区科技工作者之家”工作群，为企业提供政策及科技资源，促进科技信息交流，助力企业创新发展。</w:t>
      </w:r>
    </w:p>
    <w:p>
      <w:pPr>
        <w:pStyle w:val="11"/>
        <w:keepNext w:val="0"/>
        <w:keepLines w:val="0"/>
        <w:pageBreakBefore w:val="0"/>
        <w:widowControl w:val="0"/>
        <w:tabs>
          <w:tab w:val="left" w:pos="966"/>
        </w:tabs>
        <w:kinsoku/>
        <w:wordWrap/>
        <w:overflowPunct/>
        <w:topLinePunct w:val="0"/>
        <w:autoSpaceDE/>
        <w:autoSpaceDN/>
        <w:bidi w:val="0"/>
        <w:adjustRightInd/>
        <w:spacing w:after="0" w:line="560" w:lineRule="exact"/>
        <w:ind w:left="0" w:leftChars="0" w:firstLine="643" w:firstLineChars="200"/>
        <w:jc w:val="both"/>
        <w:textAlignment w:val="auto"/>
        <w:rPr>
          <w:rFonts w:hint="default" w:ascii="Times New Roman" w:hAnsi="Times New Roman" w:eastAsia="仿宋" w:cs="Times New Roman"/>
          <w:b/>
          <w:bCs/>
          <w:kern w:val="2"/>
          <w:szCs w:val="32"/>
          <w:highlight w:val="none"/>
        </w:rPr>
      </w:pPr>
      <w:r>
        <w:rPr>
          <w:rFonts w:hint="default" w:ascii="Times New Roman" w:hAnsi="Times New Roman" w:eastAsia="仿宋" w:cs="Times New Roman"/>
          <w:b/>
          <w:bCs/>
          <w:kern w:val="2"/>
          <w:szCs w:val="32"/>
          <w:highlight w:val="none"/>
        </w:rPr>
        <w:t>2、拓宽科普渠道，促进全民科学素质提升</w:t>
      </w:r>
    </w:p>
    <w:p>
      <w:pPr>
        <w:pStyle w:val="11"/>
        <w:keepNext w:val="0"/>
        <w:keepLines w:val="0"/>
        <w:pageBreakBefore w:val="0"/>
        <w:widowControl w:val="0"/>
        <w:tabs>
          <w:tab w:val="left" w:pos="966"/>
        </w:tabs>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 w:cs="Times New Roman"/>
          <w:kern w:val="2"/>
          <w:szCs w:val="32"/>
          <w:highlight w:val="none"/>
        </w:rPr>
      </w:pPr>
      <w:r>
        <w:rPr>
          <w:rFonts w:hint="default" w:ascii="Times New Roman" w:hAnsi="Times New Roman" w:eastAsia="仿宋" w:cs="Times New Roman"/>
          <w:kern w:val="2"/>
          <w:szCs w:val="32"/>
          <w:highlight w:val="none"/>
        </w:rPr>
        <w:t>调动和组织各个方面的社会科普力量，促进科普信息化建设，提升科学传播能力和水平，不断推进我区科普工作有效开展。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发挥科普优势，服务文明城市创建。以南方三小、芦淞通用机场等航空特色科普基地为切入点，打造了一批具有浓厚产业气息的科普教育基地。扎实开展疫情防控科普知识宣传和服务工作，深入抗疫一线发放科普资料1万余份，多渠道发布权威科普防疫知识500余条。围绕文明创建、健康卫生等主题，区科协联合各单位、社区、村、学校累计开展各类大中小型科普志愿服务活动共600余次，有效提升了居民的科学素养和城市文化软实力。</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突出精准施策，提升重点人群科学素质。紧紧围绕“百年再出发，迈向高水平科技自立自强”主题，在全国科普日期间，区科协聚焦群众最关心、最直接、最现实的问题，举办了现代农业高效种养殖技能科普活动、健康知识科普活动以及直升机应用科普活动，通过开展丰富多彩的主题性群众性科普活动，进一步形成了讲科学、爱科学、学科学、用科学的社会风尚。同时, 区科协联合区教育局积极动员广大群众参加省科协第五届科学素质网络大赛，截止目前，已有46585人次参赛。积极开展了2021年度中小学科普教育活动，组织学生参加了湖南省第四十二届青少年科技创新大赛、株洲市第四十一届青少年科技创新大赛、株洲市“三好杯”航空器科技模型竞赛以及省市机器人竞赛，我区有200多名青少年获得市级以上荣誉。以丰富多彩的青少年科普活动，有力促进了我区青少年科普教育活动蓬勃开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夯实基层基础，增强科普公共服务能力。积极推动企业科协组织建设，全区77家规模以上工业企业已成立了科协组织。充分发挥镇（街道）、村（社区）等基层科协组织的能动作用，广泛组织科普信息员参与科普信息传播。截至目前，全区注册科普中国信息员7764人,科普传播量47万多次。科技和科普服务内容更丰富、更精准、更高效，覆盖面更广。</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3、注重自身建设，提升综合服务效能</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强化政治引领，努力提高科协队伍整体素质和服务能力,努力适应科协工作新常态。</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1）筑牢思想政治根基。区科协深入学习贯彻习近平新时代中国特色社会主义思想和党的十九大、十九届二中、三中、四中、五中、六中全会精神。深入贯彻学习新发展理念，深刻领会习近平总书记在两院院士大会、中国科协第十次代表大会上的讲话精神和总书记考察湖南重要讲话精神。同时，将党史学习教育贯穿2021年全年，突出学党史、悟思想、办实事、开新局，注重融入日常、抓在经常。利用全区科技工作者座谈会、培训会、科技工作者日等活动，推动全区科技工作者和科协组织强化理论武装，加强思想政治引领。</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不断提升队伍履职能力。区科协通过召开全委会会议，组织全体委员、镇（街道）科协主席、专干学习了省市科协相关会议精神，对重点工作及相关业务工作进行了专题培训，提升了科协系统干部队伍业务能力。</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 w:cs="Times New Roman"/>
          <w:sz w:val="32"/>
          <w:szCs w:val="32"/>
          <w:highlight w:val="none"/>
        </w:rPr>
        <w:t>（3）加强干部队伍自身建设。认真落实全面从严治党要求，落实党风廉政建设主体责任，认真履行“一岗双责”，积极开展批评与自我批评，坚持重大问题集体研究决定，进一步落实巡察整改工作各项任务，营造风清气正的政治生态。</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科普经费专项资金使用绩效情况：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资金使用：专项资金使用严格按项目资金申报计划及批复的预算执行。财务室负责跟踪、监控专项资金的全程使用，定期进行资金使用的汇总、分析。项目终了后及时按规定办理财务结算，保证专项资金的使用安全、完整。</w:t>
      </w:r>
      <w:r>
        <w:rPr>
          <w:rFonts w:hint="default" w:ascii="Times New Roman" w:hAnsi="Times New Roman" w:cs="Times New Roman"/>
          <w:sz w:val="32"/>
          <w:szCs w:val="32"/>
          <w:highlight w:val="none"/>
        </w:rPr>
        <w:t>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监督：专项资金的使用与管理部门均为专项资金的监督部门，有权对专项资金的审批与使用进行监督。监察、财务部门定期、不定期对专项资金的使用情况进行抽查审计或全面审计，并根据审计的具体实际情况向单位领导报告。对审计中发现的问题进行归类，提出整改、完善意见，保证专项资金的使用合理。</w:t>
      </w:r>
      <w:r>
        <w:rPr>
          <w:rFonts w:hint="default" w:ascii="Times New Roman" w:hAnsi="Times New Roman" w:cs="Times New Roman"/>
          <w:sz w:val="32"/>
          <w:szCs w:val="32"/>
          <w:highlight w:val="none"/>
        </w:rPr>
        <w:t>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 w:cs="Times New Roman"/>
          <w:sz w:val="32"/>
          <w:szCs w:val="32"/>
          <w:highlight w:val="none"/>
        </w:rPr>
        <w:t>3、验收：专项资金项目按申请计划推进，按时完成项目任务，达到申请报告中预期的绩效目标。</w:t>
      </w:r>
    </w:p>
    <w:p>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本次自评将运用于来年的预算编制，以期提升资金的使用效率，强化预算绩效管理。本单位没有独立网站，自评结果将在芦淞区政府门户网上统一公示公开，接受社会监督。</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无</w:t>
      </w:r>
      <w:r>
        <w:rPr>
          <w:rFonts w:hint="eastAsia" w:eastAsia="仿宋"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D57196"/>
    <w:rsid w:val="00004E70"/>
    <w:rsid w:val="00207FA3"/>
    <w:rsid w:val="005A433C"/>
    <w:rsid w:val="006B48AC"/>
    <w:rsid w:val="00766428"/>
    <w:rsid w:val="008C62A7"/>
    <w:rsid w:val="00A56C8A"/>
    <w:rsid w:val="00BB4F60"/>
    <w:rsid w:val="00D5092F"/>
    <w:rsid w:val="00D57196"/>
    <w:rsid w:val="00E55161"/>
    <w:rsid w:val="00EF3C78"/>
    <w:rsid w:val="00F31CBD"/>
    <w:rsid w:val="00F739F8"/>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0D3135"/>
    <w:rsid w:val="1627453B"/>
    <w:rsid w:val="17197045"/>
    <w:rsid w:val="175C6F5E"/>
    <w:rsid w:val="179A7791"/>
    <w:rsid w:val="17DC3DC3"/>
    <w:rsid w:val="181F357B"/>
    <w:rsid w:val="188345AC"/>
    <w:rsid w:val="195E168F"/>
    <w:rsid w:val="196A7CDF"/>
    <w:rsid w:val="19C72BF8"/>
    <w:rsid w:val="19CA553D"/>
    <w:rsid w:val="1A4E2E8E"/>
    <w:rsid w:val="1AF51455"/>
    <w:rsid w:val="1B9D302A"/>
    <w:rsid w:val="1BA8180C"/>
    <w:rsid w:val="1BF446CE"/>
    <w:rsid w:val="1C704031"/>
    <w:rsid w:val="1D271A66"/>
    <w:rsid w:val="1DCB47DF"/>
    <w:rsid w:val="1E601115"/>
    <w:rsid w:val="1EB03217"/>
    <w:rsid w:val="1F000FB0"/>
    <w:rsid w:val="1F111AD7"/>
    <w:rsid w:val="1F5A1E7F"/>
    <w:rsid w:val="1FA707DF"/>
    <w:rsid w:val="1FFE7B8C"/>
    <w:rsid w:val="203C025A"/>
    <w:rsid w:val="20775CA3"/>
    <w:rsid w:val="217A1AB1"/>
    <w:rsid w:val="217E79C3"/>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FF72C4"/>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5118AA"/>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2CF7A9F"/>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after="120"/>
    </w:pPr>
    <w:rPr>
      <w:rFonts w:eastAsia="仿宋_GB2312" w:cs="仿宋_GB2312"/>
      <w:kern w:val="0"/>
      <w:sz w:val="32"/>
      <w:szCs w:val="32"/>
    </w:rPr>
  </w:style>
  <w:style w:type="paragraph" w:styleId="3">
    <w:name w:val="footnote text"/>
    <w:basedOn w:val="1"/>
    <w:link w:val="7"/>
    <w:qFormat/>
    <w:uiPriority w:val="99"/>
    <w:pPr>
      <w:snapToGrid w:val="0"/>
      <w:jc w:val="left"/>
    </w:pPr>
    <w:rPr>
      <w:rFonts w:ascii="Calibri" w:hAnsi="Calibri" w:eastAsiaTheme="minorEastAsia" w:cstheme="minorBidi"/>
      <w:kern w:val="0"/>
      <w:sz w:val="18"/>
      <w:szCs w:val="18"/>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脚注文本 Char"/>
    <w:basedOn w:val="5"/>
    <w:link w:val="3"/>
    <w:qFormat/>
    <w:uiPriority w:val="99"/>
    <w:rPr>
      <w:rFonts w:ascii="Calibri" w:hAnsi="Calibri"/>
      <w:sz w:val="18"/>
      <w:szCs w:val="18"/>
    </w:rPr>
  </w:style>
  <w:style w:type="character" w:customStyle="1" w:styleId="8">
    <w:name w:val="脚注文本 Char1"/>
    <w:basedOn w:val="5"/>
    <w:qFormat/>
    <w:uiPriority w:val="0"/>
    <w:rPr>
      <w:rFonts w:ascii="Times New Roman" w:hAnsi="Times New Roman" w:eastAsia="宋体" w:cs="Times New Roman"/>
      <w:kern w:val="2"/>
      <w:sz w:val="18"/>
      <w:szCs w:val="18"/>
    </w:rPr>
  </w:style>
  <w:style w:type="paragraph" w:customStyle="1" w:styleId="9">
    <w:name w:val="正文首行缩进 21"/>
    <w:basedOn w:val="1"/>
    <w:qFormat/>
    <w:uiPriority w:val="99"/>
    <w:pPr>
      <w:spacing w:after="120"/>
      <w:ind w:left="420" w:leftChars="200" w:firstLine="420" w:firstLineChars="200"/>
    </w:pPr>
    <w:rPr>
      <w:rFonts w:cs="仿宋_GB2312"/>
      <w:kern w:val="0"/>
      <w:sz w:val="32"/>
      <w:szCs w:val="32"/>
    </w:rPr>
  </w:style>
  <w:style w:type="character" w:customStyle="1" w:styleId="10">
    <w:name w:val="正文文本 Char"/>
    <w:basedOn w:val="5"/>
    <w:link w:val="2"/>
    <w:qFormat/>
    <w:uiPriority w:val="99"/>
    <w:rPr>
      <w:rFonts w:ascii="Times New Roman" w:hAnsi="Times New Roman" w:eastAsia="仿宋_GB2312" w:cs="仿宋_GB2312"/>
      <w:sz w:val="32"/>
      <w:szCs w:val="32"/>
    </w:rPr>
  </w:style>
  <w:style w:type="paragraph" w:customStyle="1" w:styleId="11">
    <w:name w:val="正文首行缩进 22"/>
    <w:basedOn w:val="1"/>
    <w:qFormat/>
    <w:uiPriority w:val="0"/>
    <w:pPr>
      <w:spacing w:after="120"/>
      <w:ind w:left="420" w:leftChars="200" w:firstLine="420" w:firstLineChars="200"/>
    </w:pPr>
    <w:rPr>
      <w:rFonts w:eastAsia="仿宋_GB2312" w:cs="仿宋_GB2312"/>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3556</Words>
  <Characters>3644</Characters>
  <Lines>26</Lines>
  <Paragraphs>7</Paragraphs>
  <TotalTime>5</TotalTime>
  <ScaleCrop>false</ScaleCrop>
  <LinksUpToDate>false</LinksUpToDate>
  <CharactersWithSpaces>3653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2022-12-07T03:09:09Z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