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960" w:firstLineChars="200"/>
        <w:jc w:val="both"/>
        <w:textAlignment w:val="auto"/>
        <w:rPr>
          <w:rFonts w:hint="eastAsia" w:eastAsia="方正小标宋_GBK"/>
          <w:sz w:val="48"/>
          <w:szCs w:val="48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960" w:firstLineChars="200"/>
        <w:jc w:val="both"/>
        <w:textAlignment w:val="auto"/>
        <w:rPr>
          <w:rFonts w:hint="eastAsia" w:eastAsia="方正小标宋_GBK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2021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株洲市芦淞区科技和工业信息化局整体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720" w:firstLineChars="200"/>
        <w:jc w:val="both"/>
        <w:textAlignment w:val="auto"/>
        <w:rPr>
          <w:rFonts w:eastAsia="黑体"/>
          <w:sz w:val="36"/>
          <w:szCs w:val="36"/>
        </w:rPr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eastAsia="楷体_GB2312"/>
          <w:b/>
          <w:sz w:val="32"/>
          <w:szCs w:val="32"/>
          <w:highlight w:val="yellow"/>
        </w:rPr>
      </w:pPr>
      <w:r>
        <w:rPr>
          <w:rFonts w:eastAsia="楷体_GB2312"/>
          <w:b/>
          <w:sz w:val="32"/>
          <w:szCs w:val="32"/>
          <w:highlight w:val="none"/>
        </w:rPr>
        <w:t>（一）部门基本情况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宋体" w:eastAsia="楷体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Times New Roman"/>
          <w:bCs/>
          <w:kern w:val="0"/>
          <w:sz w:val="32"/>
          <w:szCs w:val="32"/>
          <w:lang w:val="en-US" w:eastAsia="zh-CN" w:bidi="ar-SA"/>
        </w:rPr>
        <w:t>本部门主要职责: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（一）贯彻执行国家和省、市有关科技创新、工业和信息化工作的法律法规、方针政策和决策部署；实施创新引领战略，推动区域创新发展和协同创新能力建设。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组织制定和实施全区科技创新工作计划；统筹推进科技创新体系建设和科技体制改革；组织实施科技专项申报，促进科技成果转化；会同有关部门健全技术创新激励机制，指导实施全区创新调查制度和科技报告制度；承担科技统计和科研诚信建设工作；承担高新技术产业发展、科技促进农业农村发展与社会事业发展相关工作；组织高新技术企业、科技型中小企业的推荐申报工作；指导全区科技保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优化科研体系建设，加强企业科技创新能力建设，推动科研企业改革；促进科研条件保障建设和科技资源开放共享；指导全区科技研发机构、重点实验室、科技企业孵化器、特色产业基地等各类科技创新载体和科技创新平台建设；推动科技计划管理改革；组织协调科学技术普及和培训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）负责区科技等各项经费预决算和监督管理；加强对科研项目资金、科技计划专项的监督管理；负责科技成果管理、科技奖励的组织推荐工作；引导全区加大科技投入。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组织开展科技合作与交流；拟订和实施产学研结合的相关政策；做好外国专家管理和服务工作；会同有关部门做好科技人才培养和高层次人才引进工作；做好省、市重大科技创新项目的储备和协调推进工作，统筹引导关键共性技术、前沿引领技术、现代工程技术、颠覆性技术研发和创新，促进重大技术攻关和成果应用示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）拟订工业经济发展规划，协调工业和信息化领域相关行业规划编制；负责全区工业和信息化领域技术改造工作；牵头推进智能制造业发展；组织推广工业企业清洁生产。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监测分析工业和信息化领域的经济运行态势，进行预测预警和信息引导；编制并组织实施近期工业和信息化领域主要预期经济目标、政策和措施；协调解决经济运行中的突出矛盾和问题并提出政策建议；推进全区新型工业化；指导工业和信息化领域的应急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承担中小企业的综合管理、指导、协调和服务工作；监测与分析中小企业和非公有制经济的运行情况，研究提出促进全区中小企业和非公有制经济的政策措施；承担协调减轻企业负担的工作；做好中小企业融资和融资担保的服务与协调工作；负责全区中小企业发展专项资金的管理和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）推进信息服务业发展，指导软件服务业公共服务体系建设；指导推进社会经济各领域大数据开发应用和大数据产业发展。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）指导、协调全区军民融合工作。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）负责有关行政复议和行政诉讼应诉工作。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eastAsia="zh-CN"/>
        </w:rPr>
        <w:t>十二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）完成区委、区政府交办的其他任务。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十三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）职能转变</w:t>
      </w:r>
      <w:r>
        <w:rPr>
          <w:rFonts w:hint="default" w:ascii="仿宋_GB2312" w:hAnsi="宋体" w:eastAsia="仿宋_GB2312"/>
          <w:bCs/>
          <w:kern w:val="0"/>
          <w:sz w:val="32"/>
          <w:szCs w:val="32"/>
          <w:lang w:val="en-US"/>
        </w:rPr>
        <w:t>: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将原区经科信局的职责划入区科技和工业信息化局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将原区人社局的外国专家管理职责加入区科技和工业信息化局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将原区科技和工业信息化局的知识产权管理职责划入区市场监管局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将原区科技和工业信息化局的防震减灾、震灾应急救援相关职责划入区应急局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将原区经科信局的交通战备相关职责划入区交通运输局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将原区经科信局的信息化推进和信息安全相关职责划入区网信办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将原区经科信局的能源运行相关职责划入区发改局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楷体_GB2312" w:hAnsi="宋体" w:eastAsia="楷体_GB2312"/>
          <w:bCs/>
          <w:kern w:val="0"/>
          <w:sz w:val="32"/>
          <w:szCs w:val="32"/>
          <w:lang w:val="en-US" w:eastAsia="zh-CN"/>
        </w:rPr>
        <w:t>本部门</w:t>
      </w:r>
      <w:r>
        <w:rPr>
          <w:rFonts w:hint="eastAsia" w:ascii="楷体_GB2312" w:hAnsi="宋体" w:eastAsia="楷体_GB2312"/>
          <w:bCs/>
          <w:kern w:val="0"/>
          <w:sz w:val="32"/>
          <w:szCs w:val="32"/>
        </w:rPr>
        <w:t>内设机构设置</w:t>
      </w:r>
      <w:r>
        <w:rPr>
          <w:rFonts w:hint="eastAsia" w:ascii="楷体_GB2312" w:hAnsi="宋体" w:eastAsia="楷体_GB2312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株洲市芦淞区科技和工业信息化局单位内设机构包括：</w:t>
      </w:r>
      <w:r>
        <w:rPr>
          <w:rFonts w:ascii="仿宋_GB2312" w:hAnsi="仿宋" w:eastAsia="仿宋_GB2312"/>
          <w:sz w:val="32"/>
          <w:szCs w:val="32"/>
        </w:rPr>
        <w:t>办公室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科技</w:t>
      </w:r>
      <w:r>
        <w:rPr>
          <w:rFonts w:hint="eastAsia" w:ascii="仿宋_GB2312" w:hAnsi="仿宋" w:eastAsia="仿宋_GB2312"/>
          <w:sz w:val="32"/>
          <w:szCs w:val="32"/>
        </w:rPr>
        <w:t>创新</w:t>
      </w:r>
      <w:r>
        <w:rPr>
          <w:rFonts w:ascii="仿宋_GB2312" w:hAnsi="仿宋" w:eastAsia="仿宋_GB2312"/>
          <w:sz w:val="32"/>
          <w:szCs w:val="32"/>
        </w:rPr>
        <w:t>股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科技</w:t>
      </w:r>
      <w:r>
        <w:rPr>
          <w:rFonts w:hint="eastAsia" w:ascii="仿宋_GB2312" w:hAnsi="仿宋" w:eastAsia="仿宋_GB2312"/>
          <w:sz w:val="32"/>
          <w:szCs w:val="32"/>
        </w:rPr>
        <w:t>成果</w:t>
      </w:r>
      <w:r>
        <w:rPr>
          <w:rFonts w:ascii="仿宋_GB2312" w:hAnsi="仿宋" w:eastAsia="仿宋_GB2312"/>
          <w:sz w:val="32"/>
          <w:szCs w:val="32"/>
        </w:rPr>
        <w:t>股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企业综合股</w:t>
      </w:r>
      <w:r>
        <w:rPr>
          <w:rFonts w:hint="eastAsia" w:ascii="仿宋_GB2312" w:hAnsi="仿宋" w:eastAsia="仿宋_GB2312"/>
          <w:sz w:val="32"/>
          <w:szCs w:val="32"/>
        </w:rPr>
        <w:t>、军民融合股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、科技创新服务中心。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eastAsia" w:eastAsia="楷体_GB2312"/>
          <w:b/>
          <w:sz w:val="32"/>
          <w:szCs w:val="32"/>
          <w:highlight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</w:rPr>
        <w:t>部门（单位）年度整体支出绩效目标，</w:t>
      </w:r>
      <w:r>
        <w:rPr>
          <w:rFonts w:hint="eastAsia" w:eastAsia="楷体_GB2312"/>
          <w:b/>
          <w:sz w:val="32"/>
          <w:szCs w:val="32"/>
          <w:highlight w:val="none"/>
          <w:lang w:eastAsia="zh-CN"/>
        </w:rPr>
        <w:t>部门</w:t>
      </w:r>
      <w:r>
        <w:rPr>
          <w:rFonts w:eastAsia="楷体_GB2312"/>
          <w:b/>
          <w:sz w:val="32"/>
          <w:szCs w:val="32"/>
          <w:highlight w:val="none"/>
        </w:rPr>
        <w:t>专项资金绩效目标、其他项目支出（除省级专项资金以外）绩效目标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eastAsia="仿宋_GB2312"/>
          <w:sz w:val="32"/>
          <w:szCs w:val="32"/>
          <w:highlight w:val="none"/>
        </w:rPr>
        <w:t>完成年初工业经济运行各项任务目标；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/>
          <w:sz w:val="32"/>
          <w:szCs w:val="32"/>
          <w:highlight w:val="none"/>
        </w:rPr>
        <w:t>完成年初科技创新工作各项任务目</w:t>
      </w:r>
      <w:r>
        <w:rPr>
          <w:rFonts w:hint="eastAsia" w:eastAsia="仿宋_GB2312"/>
          <w:sz w:val="32"/>
          <w:szCs w:val="32"/>
        </w:rPr>
        <w:t>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3.完成上级交办的各项工作任务。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1、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1</w:t>
      </w:r>
      <w:r>
        <w:rPr>
          <w:rFonts w:eastAsia="仿宋"/>
          <w:color w:val="000000"/>
          <w:sz w:val="32"/>
          <w:szCs w:val="32"/>
        </w:rPr>
        <w:t>年预算资金</w:t>
      </w:r>
      <w:r>
        <w:rPr>
          <w:rFonts w:hint="eastAsia" w:eastAsia="仿宋"/>
          <w:color w:val="000000"/>
          <w:sz w:val="32"/>
          <w:szCs w:val="32"/>
        </w:rPr>
        <w:t>2,623.22</w:t>
      </w:r>
      <w:r>
        <w:rPr>
          <w:rFonts w:hint="eastAsia" w:eastAsia="仿宋"/>
          <w:color w:val="000000"/>
          <w:sz w:val="32"/>
          <w:szCs w:val="32"/>
          <w:lang w:eastAsia="zh-CN"/>
        </w:rPr>
        <w:t>万元；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2、2021年度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eastAsia="仿宋"/>
          <w:color w:val="auto"/>
          <w:sz w:val="32"/>
          <w:szCs w:val="32"/>
        </w:rPr>
        <w:t>收入</w:t>
      </w:r>
      <w:r>
        <w:rPr>
          <w:rFonts w:hint="eastAsia" w:eastAsia="仿宋"/>
          <w:color w:val="auto"/>
          <w:sz w:val="32"/>
          <w:szCs w:val="32"/>
          <w:lang w:eastAsia="zh-CN"/>
        </w:rPr>
        <w:t>2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,</w:t>
      </w:r>
      <w:r>
        <w:rPr>
          <w:rFonts w:hint="eastAsia" w:eastAsia="仿宋"/>
          <w:color w:val="auto"/>
          <w:sz w:val="32"/>
          <w:szCs w:val="32"/>
          <w:lang w:eastAsia="zh-CN"/>
        </w:rPr>
        <w:t>202.36万元。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eastAsia="仿宋"/>
          <w:color w:val="0000FF"/>
          <w:sz w:val="32"/>
          <w:szCs w:val="32"/>
          <w:lang w:val="en-US" w:eastAsia="zh-CN"/>
        </w:rPr>
      </w:pPr>
      <w:r>
        <w:rPr>
          <w:rFonts w:eastAsia="仿宋"/>
          <w:color w:val="auto"/>
          <w:sz w:val="32"/>
          <w:szCs w:val="32"/>
        </w:rPr>
        <w:t>3.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2021年度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hint="eastAsia" w:eastAsia="仿宋"/>
          <w:color w:val="auto"/>
          <w:sz w:val="32"/>
          <w:szCs w:val="32"/>
          <w:lang w:eastAsia="zh-CN"/>
        </w:rPr>
        <w:t>支出2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,</w:t>
      </w:r>
      <w:r>
        <w:rPr>
          <w:rFonts w:hint="eastAsia" w:eastAsia="仿宋"/>
          <w:color w:val="auto"/>
          <w:sz w:val="32"/>
          <w:szCs w:val="32"/>
          <w:lang w:eastAsia="zh-CN"/>
        </w:rPr>
        <w:t>202.36万元，</w:t>
      </w:r>
      <w:r>
        <w:rPr>
          <w:rFonts w:eastAsia="仿宋"/>
          <w:color w:val="auto"/>
          <w:sz w:val="32"/>
          <w:szCs w:val="32"/>
        </w:rPr>
        <w:t>其中：项目支出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2,012.5</w:t>
      </w:r>
      <w:r>
        <w:rPr>
          <w:rFonts w:eastAsia="仿宋"/>
          <w:color w:val="auto"/>
          <w:sz w:val="32"/>
          <w:szCs w:val="32"/>
        </w:rPr>
        <w:t>万元，基本支出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189.86</w:t>
      </w:r>
      <w:r>
        <w:rPr>
          <w:rFonts w:eastAsia="仿宋"/>
          <w:color w:val="auto"/>
          <w:sz w:val="32"/>
          <w:szCs w:val="32"/>
        </w:rPr>
        <w:t>万元，其中：人员经费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172.05</w:t>
      </w:r>
      <w:r>
        <w:rPr>
          <w:rFonts w:eastAsia="仿宋"/>
          <w:color w:val="auto"/>
          <w:sz w:val="32"/>
          <w:szCs w:val="32"/>
        </w:rPr>
        <w:t>万元，公用经费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17.81万</w:t>
      </w:r>
      <w:r>
        <w:rPr>
          <w:rFonts w:eastAsia="仿宋"/>
          <w:color w:val="auto"/>
          <w:sz w:val="32"/>
          <w:szCs w:val="32"/>
        </w:rPr>
        <w:t>元。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1.防疫专项25万元；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2.湖南省创新型省份建设专项资金第五批（科技专家服务团）8.5万元；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3.区级专项40.19万元；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4.三供一业专项经费5万元；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5.上级专项1,731.01万元；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6.推进新型工业化17.8万元；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7.自主创新区域经济高质量发展专项185万元。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2021年度政府性基金预算财政拨款收入28.03万元；年初结转和结余0.0万元；支出28.03万元，其中基本支出0.00万元，项目支出28.03万元；年末结转和结余0.0万元。具体情况如下：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1、城乡社区支出（类）国有土地使用权出让收入安排的支出（款）其他国有土地使用权出让收入安排的支出（项）。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年初预算为0.0万元，支出决算为3.03万元，完成年初预算的0.0%，决算数大于年初预算数的主要原因是：一是财政指标下达进行调整；二是因日常工作需要追加了部分预算。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2、抗疫特别国债安排的支出（类）基础设施建设（款）应急物资保障（项）。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年初预算为0.0万元，支出决算为25.00万元，完成年初预算的0.0%，决算数大于年初预算数的主要原因是：一是财政指标下达进行调整；二是因日常工作需要追加了部分预算。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2021年，芦淞区科工信局全年预算金额</w:t>
      </w:r>
      <w:r>
        <w:rPr>
          <w:rFonts w:hint="eastAsia" w:eastAsia="仿宋"/>
          <w:color w:val="000000"/>
          <w:sz w:val="32"/>
          <w:szCs w:val="32"/>
        </w:rPr>
        <w:t>2,623.22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万元，全年执行金额2202.36万元，执行率83.96%。全年高质量完成了各项预算绩效目标，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上下同心、攻坚克难，坚定围绕“三高四新”战略，培育制造名城、建设幸福株洲，以担当实干、争创一流的精神，争当株洲全面落实“三高四新”战略定位和使命任务的先锋队，全力打造先进制造业和科技创新高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1.产出指标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数量指标：</w:t>
      </w:r>
      <w:r>
        <w:rPr>
          <w:rFonts w:hint="eastAsia" w:ascii="Times New Roman" w:hAnsi="Times New Roman" w:eastAsia="仿宋_GB2312"/>
          <w:sz w:val="32"/>
          <w:szCs w:val="32"/>
        </w:rPr>
        <w:t>2021年，全区实现规模工业总产值增速12.73％，增加值累计增长12.9%；制造业产值占GDP比重22.1%。产业投资占固定资产投资比重79.3%。其中，航空产业规模以上企业产值44.41亿元，增长24.06%，中铼新材、汉能科技等本地“民参军”配套企业平均增长超85.1%。服饰产业规模以上企业产值4.42亿元，品牌化、数字化、智能化转型加快。新材料产业规模以上企业产值26.25亿元，增长19.28%，景气度持续向好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华锐精密科创板成功上市，新增“专精特新”国、省级小巨人企业4家、工业“四上”企业13家、高新技术企业17家，完成科技型中小企业备案入库80家。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全年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累计完成技术合同交易额38.5亿元以上。研发支出与地区生产总值占比6.41%。高新技术产业增加值增速29.7%。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质量指标：</w:t>
      </w:r>
      <w:r>
        <w:rPr>
          <w:rFonts w:ascii="Times New Roman" w:hAnsi="Times New Roman" w:eastAsia="仿宋_GB2312"/>
          <w:bCs/>
          <w:color w:val="000000"/>
          <w:sz w:val="32"/>
          <w:szCs w:val="32"/>
          <w:highlight w:val="none"/>
        </w:rPr>
        <w:t>完成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highlight w:val="none"/>
          <w:lang w:eastAsia="zh-CN"/>
        </w:rPr>
        <w:t>清理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拖欠民营企业账款</w:t>
      </w:r>
      <w:r>
        <w:rPr>
          <w:rFonts w:ascii="Times New Roman" w:hAnsi="Times New Roman" w:eastAsia="仿宋_GB2312"/>
          <w:bCs/>
          <w:color w:val="000000"/>
          <w:sz w:val="32"/>
          <w:szCs w:val="32"/>
          <w:highlight w:val="none"/>
        </w:rPr>
        <w:t>共计</w:t>
      </w:r>
      <w:r>
        <w:rPr>
          <w:rFonts w:hint="eastAsia" w:ascii="Times New Roman" w:hAnsi="Times New Roman"/>
          <w:bCs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bCs/>
          <w:color w:val="000000"/>
          <w:sz w:val="32"/>
          <w:szCs w:val="32"/>
          <w:highlight w:val="none"/>
        </w:rPr>
        <w:t>万元，其中，政府部门及所属机构欠款</w:t>
      </w:r>
      <w:r>
        <w:rPr>
          <w:rFonts w:hint="eastAsia" w:ascii="Times New Roman" w:hAnsi="Times New Roman"/>
          <w:bCs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bCs/>
          <w:color w:val="000000"/>
          <w:sz w:val="32"/>
          <w:szCs w:val="32"/>
          <w:highlight w:val="none"/>
        </w:rPr>
        <w:t>万元，地方大型国有企业(地方政府平台公司)欠款0万元，清欠率为</w:t>
      </w:r>
      <w:r>
        <w:rPr>
          <w:rFonts w:hint="eastAsia" w:ascii="Times New Roman" w:hAnsi="Times New Roman"/>
          <w:bCs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bCs/>
          <w:color w:val="000000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（3）成本指标：新冠肺炎常态化疫情防控，为确保芦淞工业企业从业人员生命安全和身体健康，我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严格按照区委、区政府安排部署，加大投入力度，确保芦淞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区工业企业和科技企业复工复产与疫情防控两不误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。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2.效益指标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2021年，我局狠抓惠企政策落实。一是狠抓奖补资金落实。全年争取各类奖补资金2012万元。其中，为华锐精密、航发燃机等24家企业争取研发奖补资金1062.43万元。指导唐人神、汉能科技等5家企业申报工业企业技术改造税收增量奖补资金272.79万元。争取2021年湖南省中小企业发展专项资金60万元。指导高精传动、神通光电等7家企业申报2021年湖南省制造强省专项资金610万元。配套2020年度重点产业人才贡献奖励16.25万元。二是提升企业服务质量。举办2021年芦淞区高新技术企业培育专题培训和企业深度上平台专项活动，帮助企业树立科技创新发展理念，提升创新运营管理能力。成立“一对一”专家服务团，上门为企业进行精准指导，解读高新技术企业认定管理文件、研发奖补等科技创新政策，推进高新技术企业和科技型中小企业培育与申报工作。推进南方普惠、湘火炬、神通光电等企业完成工业企业清洁生产审核。开展“我为群众办实事”实践活动，解决企业要素保障、服务平台、创新氛围、疫情防控等问题14项，均获得满意答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3.满意度指标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2021年，我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立足于本职工作，不断提升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为企业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服务水平，受到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辖区工业企业和科技型企业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的广泛好评，服务对象满意度在9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年年初预算专项资金共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个，具体情况如下：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一是自主创新区域经济高质量发展专项，预算支出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2300万元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，实际支出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185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，该专项资金支出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坚持将创新驱动发展作为首要战略，围绕航空、服饰、新材料三大产业，从建设创新发展城区、培育创新型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企业、构建创新服务体系、发展创新型产业集群、鼓励开展对外合作、打造创新创业人才高地六个方面着手，为奋力打造发展升级版主阵地提供有力支撑。加速推进我区新型工业化工作，增加全区规模以上工业企业数量，壮大全区工业经济总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二是推进新型工业化工作专项资金预算支出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，实际支出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17.8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，该专项资金支出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改善中小企业经营环境，保障中小企业公平参与市场竞争，维护中小企业合法权益，支持中小企业创业创新，促进中小企业健康发展，扩大城乡就业，发挥中小企业在国民经济和社会发展中的重要作用；健全企业长效帮扶机制。夯实“温暖企业行动”各项成果，健全企业帮扶长效机制，在企业要素保障、市场开拓、品牌推广、企业减负、优化环境等方面提供更有效更有力的服务，让企业帮扶从根源上为企业解决好相关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三是三供一业工作经费预算支出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5万元，实际支出5万元，该专项资金完成辖区内国有企业三供一业维修改造扫尾、项目资金清算、资产接收协调，为国有企业减轻负担，集中精力发展主营业务承接相关企业办社会职能，解决国企历史遗留问题。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是科技专家服务经费预算支出5万元，实际支出8.5万元，该专项资金组建科技专家服务团，着力打造了团队式、成建制科技人才对口帮扶模式。为党委政府提供智囊作用、打通农村科技成果转移转化“最后一公里”、扶智扶志脱贫致富培训、为农村引智聚才提供全方位服务等方面摸索的先进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另外，实际决算项目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8个，有4个项目未列入年初预算。其中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防疫专项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50万元使用上年专项结余未纳入年初预算；区级专项40.19万元因本年统计工作需要追加预算；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招商工作经费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3.03万元因招商工作需要追加预算；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上级专项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1,731.02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为上级财政拨款未纳入年初预算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七、存在的问题及原因分析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对预算编制制定的绩效目标不够合理，有些工作未纳入到绩效目标中来，不能完全体现我局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年度绩效情况。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全区归口区科工信局的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规模以上工业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制造业、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电力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、热力、燃气及水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行业企业的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疫情防控；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负责全区应对新冠肺炎疫情医疗物资的政府储备、生产动员、物资调拨和运输保障。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该项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工作取得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良好成效，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底制定的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预算编制中未能体现；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除常规工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作，我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局承接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了大量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市工信局、市科技局、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区委、区政府交办的工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作，未在预算编制中体现；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各项指标的设置需进一步优化，将工作计划和工作成效科学、合理体现出来。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八、下一步改进措施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/>
          <w:lang w:eastAsia="zh-CN"/>
        </w:rPr>
        <w:t>严格按照区委、区政府要求，牢牢把握芦淞区域经济发展目标，结合芦淞区情及我局工作实际，参考上一年预算执行情况、有关支出和本年度收支预测，严格按照有关程序，科学、合理的制定预算编制，并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自评情况将在芦淞政府官网上统一公开，接受社会监督。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420" w:firstLineChars="200"/>
        <w:jc w:val="both"/>
        <w:textAlignment w:val="auto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2D7F9F"/>
    <w:multiLevelType w:val="singleLevel"/>
    <w:tmpl w:val="632D7F9F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78113FD3"/>
    <w:multiLevelType w:val="singleLevel"/>
    <w:tmpl w:val="78113F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B56978"/>
    <w:rsid w:val="02D92DDA"/>
    <w:rsid w:val="03287320"/>
    <w:rsid w:val="032D650E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913757"/>
    <w:rsid w:val="15A27FE2"/>
    <w:rsid w:val="1627453B"/>
    <w:rsid w:val="17197045"/>
    <w:rsid w:val="175C6F5E"/>
    <w:rsid w:val="17985F6A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ECA551A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6100F9"/>
    <w:rsid w:val="27014400"/>
    <w:rsid w:val="271B2298"/>
    <w:rsid w:val="276D0D8C"/>
    <w:rsid w:val="286C33CA"/>
    <w:rsid w:val="28E4125D"/>
    <w:rsid w:val="299679BB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447B9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4254E5C"/>
    <w:rsid w:val="35124AFB"/>
    <w:rsid w:val="35164EC9"/>
    <w:rsid w:val="35CB6E89"/>
    <w:rsid w:val="35EE1AE6"/>
    <w:rsid w:val="36216ACD"/>
    <w:rsid w:val="36AD5505"/>
    <w:rsid w:val="36DB24F1"/>
    <w:rsid w:val="371B52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C30283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67852BF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DBF5582"/>
    <w:rsid w:val="4E03467F"/>
    <w:rsid w:val="4E972AFE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566B2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931AE5"/>
    <w:rsid w:val="58A41C4E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B8322E4"/>
    <w:rsid w:val="5D155819"/>
    <w:rsid w:val="5D656D7E"/>
    <w:rsid w:val="5DCE0C96"/>
    <w:rsid w:val="5DE454AE"/>
    <w:rsid w:val="5DEC70B2"/>
    <w:rsid w:val="5E1F095F"/>
    <w:rsid w:val="5E280AA6"/>
    <w:rsid w:val="5E482C04"/>
    <w:rsid w:val="5E5D637B"/>
    <w:rsid w:val="5E670260"/>
    <w:rsid w:val="5EB36A3D"/>
    <w:rsid w:val="5EC735B0"/>
    <w:rsid w:val="5F0F193D"/>
    <w:rsid w:val="5F2B6724"/>
    <w:rsid w:val="60C055B7"/>
    <w:rsid w:val="612D4EDB"/>
    <w:rsid w:val="616814F5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4C7A2E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AD06B7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D20CED"/>
    <w:rsid w:val="6FE61A56"/>
    <w:rsid w:val="704C412C"/>
    <w:rsid w:val="70AD1C74"/>
    <w:rsid w:val="711C4732"/>
    <w:rsid w:val="713E2896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C46EC7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9">
    <w:name w:val="正文文字"/>
    <w:basedOn w:val="1"/>
    <w:next w:val="1"/>
    <w:qFormat/>
    <w:uiPriority w:val="99"/>
    <w:pPr>
      <w:widowControl/>
      <w:spacing w:after="120"/>
    </w:pPr>
    <w:rPr>
      <w:rFonts w:ascii="Calibri" w:hAnsi="Calibri" w:cs="Times New Roman"/>
    </w:rPr>
  </w:style>
  <w:style w:type="character" w:customStyle="1" w:styleId="10">
    <w:name w:val="normal__char1"/>
    <w:basedOn w:val="6"/>
    <w:qFormat/>
    <w:uiPriority w:val="0"/>
    <w:rPr>
      <w:rFonts w:ascii="Times New Roman" w:hAnsi="Times New Roman" w:cs="Times New Roman"/>
      <w:sz w:val="20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4388</Words>
  <Characters>4677</Characters>
  <Lines>0</Lines>
  <Paragraphs>0</Paragraphs>
  <TotalTime>1</TotalTime>
  <ScaleCrop>false</ScaleCrop>
  <LinksUpToDate>false</LinksUpToDate>
  <CharactersWithSpaces>4681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2022-12-07T03:26:08Z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D7BB7EB8D7404C82ADDE6B48EC3893E3</vt:lpwstr>
  </property>
</Properties>
</file>