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2021</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年度</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株洲市芦淞区交通运输局整体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支出绩效自评报告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eastAsia="楷体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both"/>
        <w:textAlignment w:val="auto"/>
        <w:rPr>
          <w:rFonts w:eastAsia="黑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both"/>
        <w:textAlignment w:val="auto"/>
        <w:rPr>
          <w:rFonts w:eastAsia="黑体"/>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r>
        <w:rPr>
          <w:rFonts w:eastAsia="仿宋_GB2312"/>
          <w:sz w:val="32"/>
          <w:szCs w:val="32"/>
        </w:rPr>
        <w:br w:type="page"/>
      </w:r>
      <w:r>
        <w:rPr>
          <w:rFonts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eastAsia="楷体_GB2312"/>
          <w:b/>
          <w:sz w:val="32"/>
          <w:szCs w:val="32"/>
        </w:rPr>
      </w:pPr>
      <w:r>
        <w:rPr>
          <w:rFonts w:eastAsia="楷体_GB2312"/>
          <w:b/>
          <w:sz w:val="32"/>
          <w:szCs w:val="32"/>
        </w:rPr>
        <w:t>（一）</w:t>
      </w:r>
      <w:r>
        <w:rPr>
          <w:rFonts w:hint="eastAsia" w:eastAsia="楷体_GB2312"/>
          <w:b/>
          <w:sz w:val="32"/>
          <w:szCs w:val="32"/>
        </w:rPr>
        <w:t>区交通运输局</w:t>
      </w:r>
      <w:r>
        <w:rPr>
          <w:rFonts w:eastAsia="楷体_GB2312"/>
          <w:b/>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eastAsia="楷体_GB2312"/>
          <w:b/>
          <w:sz w:val="32"/>
          <w:szCs w:val="32"/>
        </w:rPr>
      </w:pPr>
      <w:r>
        <w:rPr>
          <w:rFonts w:hint="eastAsia" w:eastAsia="楷体_GB2312"/>
          <w:b/>
          <w:sz w:val="32"/>
          <w:szCs w:val="32"/>
        </w:rPr>
        <w:t>1、部门职责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（1）贯彻实施辖区综合交通运输发展战略，承担辖区涉及综合运输体系的规划协调工作，牵头组织拟定辖区综合交通运输发展规划，指导综合交通运输枢纽规划和管理，促进各种交通运输方式融合发展。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2）贯彻执行国家、省、市有关交通运输工作的法律、法规和方针、政策，组织制定并监督实施辖区公路、水路、民航、铁路专用线等行业规划、政策和标准，参与拟订邮政、物流业发展战略和规划、政策和标准，参与拟订邮政、物流业发展中战略和规划，拟订辖区有关政策并监督实施，参与对公路两侧新建村镇、开发区等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3）负责辖区交通运输建设市场管理，负责交通运输基础设施建设项目的前期研究、项目论证、项目申报和权限内的行政审批、行政许可、行政裁决，负责交通运输项目库建设，提出交通运输固定资产投资规模和方向、区级财政性资金安排建议，负责交通运输预算资金的申请、拨付和监管，负责交通运输重点工程建设管理、绩效监督，负责辖区交通运输基础设施的行政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4）负责辖区交通运输商事市场管理，按权限承担辖区交通运输商事行政审批、行政许可、行政裁决，指导辖区综合交通运输和城乡客运、货运、物流业发展，监督管理辖区内道路客货运输、公共交通、机动车维修、机动车驾驶员培训、营运车辆综合性能检测，汽车租赁等，组织协调辖区重点物资和紧急客货运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5）负责辖区道路运输行业安全生产监督管理和应急管理，监督指导道路运输和相关服务企业加强安全生产管理，加强客运站场、危险品运输监督管理，落实企业主体责任，组织或协调道路运输企业安全生产事故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6）负责辖区综合交通运输服务工作，负责辖区交通运输行业科技教育与新技术推广，指导辖区交通运输从业人员继续教育，负责辖内交通运输信息化建设，承担辖区综合交通运输统计，监测分析交通运输动行情况，发布交通运输信息，承担辖区交通运输企业和从业人员信用评价信息采集，负责辖区交通运输环境保护和节能减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7）负责修订或制定辖区内区管农村公路、水运交通设施建设规划和计划，并组织实施；制订农村公路管理养护计划，保障农村公路通畅；协助配合上级海事部门，管理辖区湘江水域渡口码头，客运渡船运输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（8）配合上级交通运输主管部门加强辖区交通运输综合行政执法，强化交通运输服务事中事后监管。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（9）承担交通战备工作；承担辖区内高速公路、铁路、民航、邮政等垂直管理单位涉及地方的协调工作；承担公路“三乱”（乱设卡、乱收费、乱罚款）治理日常工作。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楷体_GB2312"/>
          <w:b/>
          <w:sz w:val="32"/>
          <w:szCs w:val="32"/>
        </w:rPr>
      </w:pPr>
      <w:r>
        <w:rPr>
          <w:rFonts w:hint="eastAsia" w:ascii="仿宋" w:hAnsi="仿宋" w:eastAsia="仿宋" w:cs="仿宋_GB2312"/>
          <w:color w:val="333333"/>
          <w:sz w:val="32"/>
          <w:szCs w:val="32"/>
          <w:shd w:val="clear" w:color="auto" w:fill="FFFFFF"/>
        </w:rPr>
        <w:t>（10）完成区委、区政府交办的其他任务。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eastAsia="楷体_GB2312"/>
          <w:b/>
          <w:color w:val="auto"/>
          <w:sz w:val="32"/>
          <w:szCs w:val="32"/>
        </w:rPr>
      </w:pPr>
      <w:r>
        <w:rPr>
          <w:rFonts w:eastAsia="楷体_GB2312"/>
          <w:b/>
          <w:color w:val="auto"/>
          <w:sz w:val="32"/>
          <w:szCs w:val="32"/>
        </w:rPr>
        <w:t>（二）</w:t>
      </w:r>
      <w:r>
        <w:rPr>
          <w:rFonts w:hint="eastAsia" w:eastAsia="楷体_GB2312"/>
          <w:b/>
          <w:color w:val="auto"/>
          <w:sz w:val="32"/>
          <w:szCs w:val="32"/>
        </w:rPr>
        <w:t>区交通运输局</w:t>
      </w:r>
      <w:r>
        <w:rPr>
          <w:rFonts w:eastAsia="楷体_GB2312"/>
          <w:b/>
          <w:color w:val="auto"/>
          <w:sz w:val="32"/>
          <w:szCs w:val="32"/>
        </w:rPr>
        <w:t>年度整体支出绩效目标，</w:t>
      </w:r>
      <w:r>
        <w:rPr>
          <w:rFonts w:hint="eastAsia" w:eastAsia="楷体_GB2312"/>
          <w:b/>
          <w:color w:val="auto"/>
          <w:sz w:val="32"/>
          <w:szCs w:val="32"/>
        </w:rPr>
        <w:t>部门</w:t>
      </w:r>
      <w:r>
        <w:rPr>
          <w:rFonts w:eastAsia="楷体_GB2312"/>
          <w:b/>
          <w:color w:val="auto"/>
          <w:sz w:val="32"/>
          <w:szCs w:val="32"/>
        </w:rPr>
        <w:t>专项资金绩效目标、其他项目支出（除省级专项资金以外）绩效目标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eastAsia="楷体_GB2312"/>
          <w:b/>
          <w:color w:val="auto"/>
          <w:sz w:val="32"/>
          <w:szCs w:val="32"/>
        </w:rPr>
      </w:pPr>
      <w:r>
        <w:rPr>
          <w:rFonts w:hint="eastAsia" w:eastAsia="楷体_GB2312"/>
          <w:b/>
          <w:color w:val="auto"/>
          <w:sz w:val="32"/>
          <w:szCs w:val="32"/>
        </w:rPr>
        <w:t>1.</w:t>
      </w:r>
      <w:r>
        <w:rPr>
          <w:rFonts w:eastAsia="楷体_GB2312"/>
          <w:b/>
          <w:color w:val="auto"/>
          <w:sz w:val="32"/>
          <w:szCs w:val="32"/>
        </w:rPr>
        <w:t xml:space="preserve"> 年度整体支出绩效目标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楷体_GB2312"/>
          <w:b/>
          <w:color w:val="FF0000"/>
          <w:sz w:val="32"/>
          <w:szCs w:val="32"/>
          <w:lang w:eastAsia="zh-CN"/>
        </w:rPr>
      </w:pPr>
      <w:r>
        <w:rPr>
          <w:rFonts w:hint="eastAsia" w:eastAsia="仿宋_GB2312"/>
          <w:color w:val="auto"/>
          <w:sz w:val="32"/>
          <w:szCs w:val="32"/>
          <w:shd w:val="clear" w:color="auto" w:fill="FFFFFF"/>
        </w:rPr>
        <w:t>完成</w:t>
      </w:r>
      <w:r>
        <w:rPr>
          <w:rFonts w:hint="eastAsia" w:eastAsia="仿宋_GB2312"/>
          <w:color w:val="auto"/>
          <w:sz w:val="32"/>
          <w:szCs w:val="32"/>
          <w:shd w:val="clear" w:color="auto" w:fill="FFFFFF"/>
          <w:lang w:eastAsia="zh-CN"/>
        </w:rPr>
        <w:t>省</w:t>
      </w:r>
      <w:r>
        <w:rPr>
          <w:rFonts w:hint="eastAsia" w:eastAsia="仿宋_GB2312"/>
          <w:color w:val="auto"/>
          <w:sz w:val="32"/>
          <w:szCs w:val="32"/>
          <w:shd w:val="clear" w:color="auto" w:fill="FFFFFF"/>
        </w:rPr>
        <w:t>市</w:t>
      </w:r>
      <w:r>
        <w:rPr>
          <w:rFonts w:hint="eastAsia" w:eastAsia="仿宋_GB2312"/>
          <w:color w:val="auto"/>
          <w:sz w:val="32"/>
          <w:szCs w:val="32"/>
          <w:shd w:val="clear" w:color="auto" w:fill="FFFFFF"/>
          <w:lang w:eastAsia="zh-CN"/>
        </w:rPr>
        <w:t>“民生</w:t>
      </w:r>
      <w:r>
        <w:rPr>
          <w:rFonts w:hint="eastAsia" w:eastAsia="仿宋_GB2312"/>
          <w:color w:val="auto"/>
          <w:sz w:val="32"/>
          <w:szCs w:val="32"/>
          <w:shd w:val="clear" w:color="auto" w:fill="FFFFFF"/>
          <w:lang w:val="en-US" w:eastAsia="zh-CN"/>
        </w:rPr>
        <w:t>100”</w:t>
      </w:r>
      <w:r>
        <w:rPr>
          <w:rFonts w:hint="eastAsia" w:eastAsia="仿宋_GB2312"/>
          <w:color w:val="auto"/>
          <w:sz w:val="32"/>
          <w:szCs w:val="32"/>
          <w:shd w:val="clear" w:color="auto" w:fill="FFFFFF"/>
        </w:rPr>
        <w:t>对区交通战线绩效考核目标</w:t>
      </w:r>
      <w:r>
        <w:rPr>
          <w:rFonts w:hint="eastAsia" w:eastAsia="仿宋_GB2312"/>
          <w:color w:val="auto"/>
          <w:sz w:val="32"/>
          <w:szCs w:val="32"/>
          <w:shd w:val="clear" w:color="auto" w:fill="FFFFFF"/>
          <w:lang w:eastAsia="zh-CN"/>
        </w:rPr>
        <w:t>，完成农村旅游、资源创业路建设，</w:t>
      </w:r>
      <w:r>
        <w:rPr>
          <w:rFonts w:hint="eastAsia" w:eastAsia="仿宋_GB2312"/>
          <w:color w:val="auto"/>
          <w:sz w:val="32"/>
          <w:szCs w:val="32"/>
          <w:shd w:val="clear" w:color="auto" w:fill="FFFFFF"/>
          <w:lang w:val="en-US" w:eastAsia="zh-CN"/>
        </w:rPr>
        <w:t>完成危桥改造，</w:t>
      </w:r>
      <w:r>
        <w:rPr>
          <w:rFonts w:hint="eastAsia" w:eastAsia="仿宋_GB2312"/>
          <w:color w:val="auto"/>
          <w:sz w:val="32"/>
          <w:szCs w:val="32"/>
          <w:shd w:val="clear" w:color="auto" w:fill="FFFFFF"/>
          <w:lang w:eastAsia="zh-CN"/>
        </w:rPr>
        <w:t>完成生命安全防护设施建设，完成</w:t>
      </w:r>
      <w:r>
        <w:rPr>
          <w:rFonts w:hint="eastAsia" w:eastAsia="仿宋_GB2312"/>
          <w:color w:val="auto"/>
          <w:sz w:val="32"/>
          <w:szCs w:val="32"/>
          <w:shd w:val="clear" w:color="auto" w:fill="FFFFFF"/>
          <w:lang w:val="en-US" w:eastAsia="zh-CN"/>
        </w:rPr>
        <w:t>S104路面改善建设</w:t>
      </w:r>
      <w:r>
        <w:rPr>
          <w:rFonts w:hint="eastAsia" w:eastAsia="仿宋_GB2312"/>
          <w:color w:val="auto"/>
          <w:sz w:val="32"/>
          <w:szCs w:val="32"/>
          <w:shd w:val="clear" w:color="auto" w:fill="FFFFFF"/>
        </w:rPr>
        <w:t>。抓好铁路周边安全环境整治工作，进一步净化铁路沿线安全环境；加大治超工作力度，进一步治理超限超载违法行为,确保治超效果。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eastAsia="楷体_GB2312"/>
          <w:b/>
          <w:color w:val="auto"/>
          <w:sz w:val="32"/>
          <w:szCs w:val="32"/>
        </w:rPr>
      </w:pPr>
      <w:r>
        <w:rPr>
          <w:rFonts w:hint="eastAsia" w:eastAsia="楷体_GB2312"/>
          <w:b/>
          <w:color w:val="auto"/>
          <w:sz w:val="32"/>
          <w:szCs w:val="32"/>
        </w:rPr>
        <w:t>2. 部门专项资金绩效目标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仿宋" w:cs="Times New Roman"/>
          <w:kern w:val="2"/>
          <w:sz w:val="32"/>
          <w:szCs w:val="32"/>
          <w:lang w:val="en-US" w:eastAsia="zh-CN" w:bidi="ar-SA"/>
        </w:rPr>
      </w:pPr>
      <w:r>
        <w:rPr>
          <w:rFonts w:hint="eastAsia" w:ascii="Calibri" w:hAnsi="Calibri" w:eastAsia="仿宋" w:cs="Times New Roman"/>
          <w:kern w:val="2"/>
          <w:sz w:val="32"/>
          <w:szCs w:val="32"/>
          <w:lang w:val="en-US" w:eastAsia="zh-CN" w:bidi="ar-SA"/>
        </w:rPr>
        <w:t>物管费：缴纳全年我局办公场所水费、电费、劳务费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eastAsia="楷体_GB2312"/>
          <w:b/>
          <w:color w:val="auto"/>
          <w:sz w:val="32"/>
          <w:szCs w:val="32"/>
        </w:rPr>
      </w:pPr>
      <w:r>
        <w:rPr>
          <w:rFonts w:hint="eastAsia" w:eastAsia="楷体_GB2312"/>
          <w:b/>
          <w:color w:val="auto"/>
          <w:sz w:val="32"/>
          <w:szCs w:val="32"/>
        </w:rPr>
        <w:t>3. 其他项目支出（除省级专项资金以外）绩效目标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alibri" w:hAnsi="Calibri" w:eastAsia="仿宋" w:cs="Times New Roman"/>
          <w:kern w:val="2"/>
          <w:sz w:val="32"/>
          <w:szCs w:val="32"/>
          <w:lang w:val="en-US" w:eastAsia="zh-CN" w:bidi="ar-SA"/>
        </w:rPr>
      </w:pPr>
      <w:r>
        <w:rPr>
          <w:rFonts w:hint="eastAsia" w:ascii="Calibri" w:hAnsi="Calibri" w:eastAsia="仿宋" w:cs="Times New Roman"/>
          <w:kern w:val="2"/>
          <w:sz w:val="32"/>
          <w:szCs w:val="32"/>
          <w:lang w:val="en-US" w:eastAsia="zh-CN" w:bidi="ar-SA"/>
        </w:rPr>
        <w:t>交通问题顽瘴痼疾：保障交通问题顽瘴痼疾集中整治的日常工作运转和购买整治行动的设备设施经费。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alibri" w:hAnsi="Calibri" w:eastAsia="仿宋" w:cs="Times New Roman"/>
          <w:kern w:val="2"/>
          <w:sz w:val="32"/>
          <w:szCs w:val="32"/>
          <w:lang w:val="en-US" w:eastAsia="zh-CN" w:bidi="ar-SA"/>
        </w:rPr>
      </w:pPr>
      <w:r>
        <w:rPr>
          <w:rFonts w:hint="eastAsia" w:ascii="Calibri" w:hAnsi="Calibri" w:eastAsia="仿宋" w:cs="Times New Roman"/>
          <w:kern w:val="2"/>
          <w:sz w:val="32"/>
          <w:szCs w:val="32"/>
          <w:lang w:val="en-US" w:eastAsia="zh-CN" w:bidi="ar-SA"/>
        </w:rPr>
        <w:t>农村公路建设：用于我区的农村公路建设奖补和目前还有未完成建设的农村公路。</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1、2021年预算资金638.50万元。</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2、2021年度单位一般公共预算财政拨款收入923.07万元。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3.2021年度单位一般公共预算财政拨款支出923.07万元，其中：项目支出821.1万元，基本支出101.97万元，其中：人员经费87.42万元，公用经费14.55万元。</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2021年项目支出合计821.1万元，其中：1、船舶污染物收集站点建设项目支出1万元；2、国省项目支出429.88万元；3、交通顽疾专项整治项目支出38.86万元；4、农村公路项目支出273.86万元；5、十四五综合交通运输体系项目支出19.5万元；6、五新桥危桥改造</w:t>
      </w:r>
      <w:r>
        <w:rPr>
          <w:rFonts w:ascii="Times New Roman" w:hAnsi="Times New Roman" w:eastAsia="仿宋"/>
          <w:sz w:val="32"/>
          <w:szCs w:val="32"/>
        </w:rPr>
        <w:t>56.66</w:t>
      </w:r>
      <w:r>
        <w:rPr>
          <w:rFonts w:hint="eastAsia" w:ascii="Times New Roman" w:hAnsi="Times New Roman" w:eastAsia="仿宋"/>
          <w:sz w:val="32"/>
          <w:szCs w:val="32"/>
        </w:rPr>
        <w:t>万元；7、物管费0.84万元；8、疫情防控补贴0.5万元。</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sz w:val="32"/>
          <w:szCs w:val="32"/>
        </w:rPr>
      </w:pPr>
      <w:r>
        <w:rPr>
          <w:rStyle w:val="9"/>
          <w:rFonts w:ascii="Times New Roman" w:hAnsi="Times New Roman" w:eastAsia="仿宋_GB2312"/>
          <w:sz w:val="32"/>
          <w:szCs w:val="32"/>
        </w:rPr>
        <w:t>202</w:t>
      </w:r>
      <w:r>
        <w:rPr>
          <w:rStyle w:val="9"/>
          <w:rFonts w:hint="eastAsia" w:ascii="Times New Roman" w:hAnsi="Times New Roman" w:eastAsia="仿宋_GB2312"/>
          <w:sz w:val="32"/>
          <w:szCs w:val="32"/>
        </w:rPr>
        <w:t>1</w:t>
      </w:r>
      <w:r>
        <w:rPr>
          <w:rStyle w:val="9"/>
          <w:rFonts w:ascii="Times New Roman" w:hAnsi="Times New Roman" w:eastAsia="仿宋_GB2312"/>
          <w:sz w:val="32"/>
          <w:szCs w:val="32"/>
        </w:rPr>
        <w:t>年政府性基金</w:t>
      </w:r>
      <w:r>
        <w:rPr>
          <w:rStyle w:val="9"/>
          <w:rFonts w:hint="eastAsia" w:ascii="Times New Roman" w:hAnsi="Times New Roman" w:eastAsia="仿宋_GB2312"/>
          <w:sz w:val="32"/>
          <w:szCs w:val="32"/>
        </w:rPr>
        <w:t>预算财政拨款支出0.5万元</w:t>
      </w:r>
      <w:r>
        <w:rPr>
          <w:rStyle w:val="9"/>
          <w:rFonts w:ascii="Times New Roman" w:hAnsi="Times New Roman" w:eastAsia="仿宋_GB2312"/>
          <w:sz w:val="32"/>
          <w:szCs w:val="32"/>
        </w:rPr>
        <w:t>。</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sz w:val="32"/>
          <w:szCs w:val="32"/>
        </w:rPr>
      </w:pPr>
      <w:r>
        <w:rPr>
          <w:rFonts w:hint="eastAsia" w:ascii="仿宋_GB2312" w:hAnsi="仿宋_GB2312" w:eastAsia="仿宋_GB2312" w:cs="仿宋_GB2312"/>
          <w:color w:val="333333"/>
          <w:sz w:val="32"/>
          <w:szCs w:val="32"/>
          <w:shd w:val="clear" w:color="auto" w:fill="FFFFFF"/>
        </w:rPr>
        <w:t>无。</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eastAsia="楷体_GB2312"/>
          <w:b/>
          <w:color w:val="FF0000"/>
          <w:sz w:val="32"/>
          <w:szCs w:val="32"/>
        </w:rPr>
      </w:pPr>
      <w:r>
        <w:rPr>
          <w:rFonts w:hint="eastAsia" w:eastAsia="楷体_GB2312"/>
          <w:b/>
          <w:sz w:val="32"/>
          <w:szCs w:val="32"/>
        </w:rPr>
        <w:t>(一）</w:t>
      </w:r>
      <w:r>
        <w:rPr>
          <w:rFonts w:hint="eastAsia" w:eastAsia="楷体_GB2312"/>
          <w:b/>
          <w:color w:val="auto"/>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 xml:space="preserve">1.严厉打击车辆超限超载违法行为，最大限度地消除道路安全隐患，确保治超效果，切实保障人民群众生命财产安全，有效杜绝超载现象，持续减少对公路的损害，降低修路成本。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color w:val="auto"/>
          <w:sz w:val="32"/>
          <w:szCs w:val="32"/>
        </w:rPr>
      </w:pPr>
      <w:r>
        <w:rPr>
          <w:rFonts w:hint="eastAsia" w:eastAsia="仿宋_GB2312"/>
          <w:color w:val="auto"/>
          <w:sz w:val="32"/>
          <w:szCs w:val="32"/>
        </w:rPr>
        <w:t>2.</w:t>
      </w:r>
      <w:r>
        <w:rPr>
          <w:rFonts w:hint="eastAsia" w:eastAsia="仿宋_GB2312"/>
          <w:color w:val="auto"/>
          <w:sz w:val="32"/>
          <w:szCs w:val="32"/>
          <w:shd w:val="clear" w:color="auto" w:fill="FFFFFF"/>
        </w:rPr>
        <w:t>抓好铁路周边安全环境整治工作，进一步净化铁路沿线安全环境</w:t>
      </w:r>
      <w:r>
        <w:rPr>
          <w:rFonts w:hint="eastAsia" w:eastAsia="仿宋_GB2312"/>
          <w:color w:val="auto"/>
          <w:sz w:val="32"/>
          <w:szCs w:val="32"/>
        </w:rPr>
        <w:t xml:space="preserve">。                                          </w:t>
      </w:r>
      <w:r>
        <w:rPr>
          <w:rFonts w:hint="eastAsia"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lang w:val="en-US" w:eastAsia="zh-CN"/>
        </w:rPr>
        <w:t>3</w:t>
      </w:r>
      <w:r>
        <w:rPr>
          <w:rFonts w:hint="eastAsia" w:eastAsia="仿宋_GB2312"/>
          <w:color w:val="auto"/>
          <w:sz w:val="32"/>
          <w:szCs w:val="32"/>
        </w:rPr>
        <w:t>.完成农村公路建设和养护，对安全隐患路段安装波形护栏。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eastAsia="楷体_GB2312"/>
          <w:b/>
          <w:color w:val="auto"/>
          <w:sz w:val="32"/>
          <w:szCs w:val="32"/>
        </w:rPr>
      </w:pPr>
      <w:r>
        <w:rPr>
          <w:rFonts w:hint="eastAsia" w:eastAsia="楷体_GB2312"/>
          <w:b/>
          <w:color w:val="auto"/>
          <w:sz w:val="32"/>
          <w:szCs w:val="32"/>
        </w:rPr>
        <w:t>（二）专项资金支出绩效情况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完成</w:t>
      </w:r>
      <w:r>
        <w:rPr>
          <w:rFonts w:hint="eastAsia" w:ascii="Times New Roman" w:hAnsi="Times New Roman" w:eastAsia="仿宋_GB2312" w:cs="Times New Roman"/>
          <w:sz w:val="32"/>
          <w:szCs w:val="32"/>
          <w:lang w:eastAsia="zh-CN"/>
        </w:rPr>
        <w:t>省</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“民生</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对区交通战线绩效考核目标</w:t>
      </w:r>
      <w:r>
        <w:rPr>
          <w:rFonts w:hint="eastAsia" w:ascii="Times New Roman" w:hAnsi="Times New Roman" w:eastAsia="仿宋_GB2312" w:cs="Times New Roman"/>
          <w:sz w:val="32"/>
          <w:szCs w:val="32"/>
          <w:lang w:eastAsia="zh-CN"/>
        </w:rPr>
        <w:t>，完成农村旅游、资源创业路在建设，</w:t>
      </w:r>
      <w:r>
        <w:rPr>
          <w:rFonts w:hint="eastAsia" w:eastAsia="仿宋_GB2312"/>
          <w:color w:val="auto"/>
          <w:sz w:val="32"/>
          <w:szCs w:val="32"/>
          <w:shd w:val="clear" w:color="auto" w:fill="FFFFFF"/>
          <w:lang w:val="en-US" w:eastAsia="zh-CN"/>
        </w:rPr>
        <w:t>完成危桥改造，</w:t>
      </w:r>
      <w:r>
        <w:rPr>
          <w:rFonts w:hint="eastAsia" w:ascii="Times New Roman" w:hAnsi="Times New Roman" w:eastAsia="仿宋_GB2312" w:cs="Times New Roman"/>
          <w:sz w:val="32"/>
          <w:szCs w:val="32"/>
          <w:lang w:eastAsia="zh-CN"/>
        </w:rPr>
        <w:t>完成生命安全防护设施建设，完成</w:t>
      </w:r>
      <w:r>
        <w:rPr>
          <w:rFonts w:hint="eastAsia" w:ascii="Times New Roman" w:hAnsi="Times New Roman" w:eastAsia="仿宋_GB2312" w:cs="Times New Roman"/>
          <w:sz w:val="32"/>
          <w:szCs w:val="32"/>
          <w:lang w:val="en-US" w:eastAsia="zh-CN"/>
        </w:rPr>
        <w:t>S104路面改善建设</w:t>
      </w:r>
      <w:r>
        <w:rPr>
          <w:rFonts w:hint="eastAsia" w:ascii="Times New Roman" w:hAnsi="Times New Roman" w:eastAsia="仿宋_GB2312" w:cs="Times New Roman"/>
          <w:sz w:val="32"/>
          <w:szCs w:val="32"/>
        </w:rPr>
        <w:t>。抓好铁路周边安全环境整治工作，进一步净化铁路沿线安全环境；加大治超工作力度，进一步治理超限超载违法行为,确保治超效果</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eastAsia" w:eastAsia="仿宋_GB2312"/>
          <w:sz w:val="32"/>
          <w:szCs w:val="32"/>
          <w:highlight w:val="none"/>
          <w:lang w:eastAsia="zh-CN"/>
        </w:rPr>
      </w:pPr>
      <w:r>
        <w:rPr>
          <w:rFonts w:hint="eastAsia" w:eastAsia="仿宋_GB2312"/>
          <w:sz w:val="32"/>
          <w:szCs w:val="32"/>
          <w:highlight w:val="none"/>
          <w:lang w:eastAsia="zh-CN"/>
        </w:rPr>
        <w:t>预算绩效管理的意识尚有待提升，“花钱必问效，无效必问责”的绩效管理意识尚未在全单位内深化普及；预算目标的编制不够科学和细化，预算编制的准确性、科学性不足。</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eastAsia="黑体"/>
          <w:sz w:val="32"/>
          <w:szCs w:val="32"/>
        </w:rPr>
      </w:pPr>
      <w:r>
        <w:rPr>
          <w:rFonts w:eastAsia="黑体"/>
          <w:sz w:val="32"/>
          <w:szCs w:val="32"/>
        </w:rPr>
        <w:t>八、下一步改进措施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进一步强化预算管理意识，预算编制前多与有关各方做好沟通衔接，提高预算编制的科学性、合理性、准确性和可控性。</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eastAsia="黑体"/>
          <w:sz w:val="32"/>
          <w:szCs w:val="32"/>
        </w:rPr>
      </w:pPr>
      <w:r>
        <w:rPr>
          <w:rFonts w:eastAsia="黑体"/>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自评结果将广泛运用于来年的预算编制和预算管理，将强化本次自评的结果运用，优化资金配置，提高资金的使用效益。本单位无独立网站，评价结果将在芦淞区政府门户网上统一公示公开，接受社会监督。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黑体"/>
          <w:sz w:val="32"/>
          <w:szCs w:val="32"/>
        </w:rPr>
      </w:pPr>
      <w:r>
        <w:rPr>
          <w:rFonts w:hint="eastAsia" w:eastAsia="黑体"/>
          <w:sz w:val="32"/>
          <w:szCs w:val="32"/>
        </w:rPr>
        <w:t>十、</w:t>
      </w:r>
      <w:r>
        <w:rPr>
          <w:rFonts w:eastAsia="黑体"/>
          <w:sz w:val="32"/>
          <w:szCs w:val="32"/>
        </w:rPr>
        <w:t>其他需要说明的情况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hint="eastAsia" w:eastAsia="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jc w:val="both"/>
        <w:textAlignment w:val="auto"/>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E7E60"/>
    <w:rsid w:val="00004E70"/>
    <w:rsid w:val="00004F05"/>
    <w:rsid w:val="00034D40"/>
    <w:rsid w:val="000E7E60"/>
    <w:rsid w:val="001743AD"/>
    <w:rsid w:val="001A12FD"/>
    <w:rsid w:val="00207FA3"/>
    <w:rsid w:val="00323D74"/>
    <w:rsid w:val="00356740"/>
    <w:rsid w:val="004040EC"/>
    <w:rsid w:val="005A433C"/>
    <w:rsid w:val="005D3CCD"/>
    <w:rsid w:val="006E00AB"/>
    <w:rsid w:val="00750901"/>
    <w:rsid w:val="008C62A7"/>
    <w:rsid w:val="009D6103"/>
    <w:rsid w:val="00A56C8A"/>
    <w:rsid w:val="00B42D4C"/>
    <w:rsid w:val="00D5092F"/>
    <w:rsid w:val="00E55161"/>
    <w:rsid w:val="015876FF"/>
    <w:rsid w:val="016976BE"/>
    <w:rsid w:val="01A6665B"/>
    <w:rsid w:val="01EF5276"/>
    <w:rsid w:val="02665DCF"/>
    <w:rsid w:val="02A86D87"/>
    <w:rsid w:val="02AE4CCA"/>
    <w:rsid w:val="02D92DDA"/>
    <w:rsid w:val="032744BE"/>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0643E4"/>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14062"/>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CB366C0"/>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890EE1"/>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2B15BE7"/>
    <w:rsid w:val="42C8169D"/>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62508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3065DE"/>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7779BB"/>
    <w:rsid w:val="6D9E11D0"/>
    <w:rsid w:val="6DCC19D2"/>
    <w:rsid w:val="6E224140"/>
    <w:rsid w:val="6E2E58DF"/>
    <w:rsid w:val="6E987E4E"/>
    <w:rsid w:val="6EE044A0"/>
    <w:rsid w:val="6F0F7BD0"/>
    <w:rsid w:val="6F1D59CD"/>
    <w:rsid w:val="6FE61A56"/>
    <w:rsid w:val="704C412C"/>
    <w:rsid w:val="70AD1C74"/>
    <w:rsid w:val="711C4732"/>
    <w:rsid w:val="71B46D55"/>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256DC9"/>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NormalCharacter"/>
    <w:qFormat/>
    <w:uiPriority w:val="0"/>
  </w:style>
  <w:style w:type="character" w:customStyle="1" w:styleId="10">
    <w:name w:val="页眉 Char"/>
    <w:basedOn w:val="7"/>
    <w:link w:val="4"/>
    <w:qFormat/>
    <w:uiPriority w:val="0"/>
    <w:rPr>
      <w:rFonts w:ascii="Times New Roman" w:hAnsi="Times New Roman" w:eastAsia="宋体" w:cs="Times New Roman"/>
      <w:kern w:val="2"/>
      <w:sz w:val="18"/>
      <w:szCs w:val="18"/>
    </w:rPr>
  </w:style>
  <w:style w:type="character" w:customStyle="1" w:styleId="11">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2289</Words>
  <Characters>2390</Characters>
  <Lines>13</Lines>
  <Paragraphs>3</Paragraphs>
  <TotalTime>12</TotalTime>
  <ScaleCrop>false</ScaleCrop>
  <LinksUpToDate>false</LinksUpToDate>
  <CharactersWithSpaces>2471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2022-12-07T03:14:13Z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2E689A92611D47B3A76CAFCAEE7A81C6</vt:lpwstr>
  </property>
</Properties>
</file>