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ind w:left="0" w:firstLine="960" w:firstLineChars="200"/>
        <w:jc w:val="both"/>
        <w:rPr>
          <w:rFonts w:hint="eastAsia" w:eastAsia="方正小标宋_GBK"/>
          <w:sz w:val="48"/>
          <w:szCs w:val="48"/>
          <w:lang w:val="en-US" w:eastAsia="zh-CN"/>
        </w:rPr>
      </w:pPr>
    </w:p>
    <w:p>
      <w:pPr>
        <w:keepNext w:val="0"/>
        <w:keepLines w:val="0"/>
        <w:pageBreakBefore w:val="0"/>
        <w:wordWrap/>
        <w:overflowPunct/>
        <w:topLinePunct w:val="0"/>
        <w:bidi w:val="0"/>
        <w:spacing w:line="560" w:lineRule="exact"/>
        <w:ind w:left="0" w:firstLine="960" w:firstLineChars="200"/>
        <w:jc w:val="both"/>
        <w:rPr>
          <w:rFonts w:hint="eastAsia" w:eastAsia="方正小标宋_GBK"/>
          <w:sz w:val="48"/>
          <w:szCs w:val="48"/>
          <w:lang w:val="en-US" w:eastAsia="zh-CN"/>
        </w:rPr>
      </w:pPr>
    </w:p>
    <w:p>
      <w:pPr>
        <w:keepNext w:val="0"/>
        <w:keepLines w:val="0"/>
        <w:pageBreakBefore w:val="0"/>
        <w:wordWrap/>
        <w:overflowPunct/>
        <w:topLinePunct w:val="0"/>
        <w:bidi w:val="0"/>
        <w:spacing w:line="560" w:lineRule="exact"/>
        <w:ind w:left="0" w:firstLine="960" w:firstLineChars="200"/>
        <w:jc w:val="both"/>
        <w:rPr>
          <w:rFonts w:hint="eastAsia" w:eastAsia="方正小标宋_GBK"/>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2021</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年度</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株洲市芦淞区环境卫生服务中心整体</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支出绩效自评报告</w:t>
      </w: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p>
    <w:p>
      <w:pPr>
        <w:keepNext w:val="0"/>
        <w:keepLines w:val="0"/>
        <w:pageBreakBefore w:val="0"/>
        <w:wordWrap/>
        <w:overflowPunct/>
        <w:topLinePunct w:val="0"/>
        <w:bidi w:val="0"/>
        <w:spacing w:line="560" w:lineRule="exact"/>
        <w:ind w:left="0" w:firstLine="880" w:firstLineChars="200"/>
        <w:jc w:val="both"/>
        <w:rPr>
          <w:rFonts w:eastAsia="黑体"/>
          <w:sz w:val="44"/>
          <w:szCs w:val="44"/>
        </w:rPr>
      </w:pPr>
    </w:p>
    <w:p>
      <w:pPr>
        <w:keepNext w:val="0"/>
        <w:keepLines w:val="0"/>
        <w:pageBreakBefore w:val="0"/>
        <w:wordWrap/>
        <w:overflowPunct/>
        <w:topLinePunct w:val="0"/>
        <w:bidi w:val="0"/>
        <w:spacing w:line="560" w:lineRule="exact"/>
        <w:ind w:left="0" w:firstLine="880" w:firstLineChars="200"/>
        <w:jc w:val="both"/>
        <w:rPr>
          <w:rFonts w:eastAsia="黑体"/>
          <w:sz w:val="44"/>
          <w:szCs w:val="44"/>
        </w:rPr>
      </w:pPr>
    </w:p>
    <w:p>
      <w:pPr>
        <w:keepNext w:val="0"/>
        <w:keepLines w:val="0"/>
        <w:pageBreakBefore w:val="0"/>
        <w:wordWrap/>
        <w:overflowPunct/>
        <w:topLinePunct w:val="0"/>
        <w:bidi w:val="0"/>
        <w:spacing w:line="560" w:lineRule="exact"/>
        <w:ind w:left="0" w:firstLine="880" w:firstLineChars="200"/>
        <w:jc w:val="both"/>
        <w:rPr>
          <w:rFonts w:eastAsia="黑体"/>
          <w:sz w:val="44"/>
          <w:szCs w:val="44"/>
        </w:rPr>
      </w:pPr>
    </w:p>
    <w:p>
      <w:pPr>
        <w:keepNext w:val="0"/>
        <w:keepLines w:val="0"/>
        <w:pageBreakBefore w:val="0"/>
        <w:wordWrap/>
        <w:overflowPunct/>
        <w:topLinePunct w:val="0"/>
        <w:bidi w:val="0"/>
        <w:spacing w:line="560" w:lineRule="exact"/>
        <w:ind w:left="0" w:firstLine="880" w:firstLineChars="200"/>
        <w:jc w:val="both"/>
        <w:rPr>
          <w:rFonts w:eastAsia="黑体"/>
          <w:sz w:val="44"/>
          <w:szCs w:val="44"/>
        </w:rPr>
      </w:pP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p>
    <w:p>
      <w:pPr>
        <w:keepNext w:val="0"/>
        <w:keepLines w:val="0"/>
        <w:pageBreakBefore w:val="0"/>
        <w:wordWrap/>
        <w:overflowPunct/>
        <w:topLinePunct w:val="0"/>
        <w:bidi w:val="0"/>
        <w:spacing w:line="560" w:lineRule="exact"/>
        <w:ind w:left="0" w:firstLine="640" w:firstLineChars="200"/>
        <w:jc w:val="both"/>
        <w:rPr>
          <w:rFonts w:eastAsia="仿宋_GB2312"/>
          <w:sz w:val="32"/>
          <w:szCs w:val="32"/>
        </w:rPr>
      </w:pPr>
    </w:p>
    <w:p>
      <w:pPr>
        <w:keepNext w:val="0"/>
        <w:keepLines w:val="0"/>
        <w:pageBreakBefore w:val="0"/>
        <w:wordWrap/>
        <w:overflowPunct/>
        <w:topLinePunct w:val="0"/>
        <w:bidi w:val="0"/>
        <w:spacing w:line="560" w:lineRule="exact"/>
        <w:ind w:left="0" w:firstLine="640" w:firstLineChars="200"/>
        <w:jc w:val="both"/>
        <w:rPr>
          <w:rFonts w:eastAsia="仿宋_GB2312"/>
          <w:sz w:val="32"/>
          <w:szCs w:val="32"/>
        </w:rPr>
      </w:pP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r>
        <w:rPr>
          <w:rFonts w:eastAsia="仿宋_GB2312"/>
          <w:sz w:val="32"/>
          <w:szCs w:val="32"/>
        </w:rPr>
        <w:br w:type="page"/>
      </w:r>
      <w:r>
        <w:rPr>
          <w:rFonts w:eastAsia="黑体"/>
          <w:sz w:val="32"/>
          <w:szCs w:val="32"/>
        </w:rPr>
        <w:t>一、基本情况</w:t>
      </w:r>
    </w:p>
    <w:p>
      <w:pPr>
        <w:keepNext w:val="0"/>
        <w:keepLines w:val="0"/>
        <w:pageBreakBefore w:val="0"/>
        <w:wordWrap/>
        <w:overflowPunct/>
        <w:topLinePunct w:val="0"/>
        <w:bidi w:val="0"/>
        <w:spacing w:line="560" w:lineRule="exact"/>
        <w:ind w:left="0" w:firstLine="643" w:firstLineChars="200"/>
        <w:jc w:val="both"/>
        <w:rPr>
          <w:rFonts w:eastAsia="楷体_GB2312"/>
          <w:b/>
          <w:sz w:val="32"/>
          <w:szCs w:val="32"/>
        </w:rPr>
      </w:pPr>
      <w:r>
        <w:rPr>
          <w:rFonts w:eastAsia="楷体_GB2312"/>
          <w:b/>
          <w:sz w:val="32"/>
          <w:szCs w:val="32"/>
        </w:rPr>
        <w:t>（一）部门</w:t>
      </w:r>
      <w:bookmarkStart w:id="0" w:name="_GoBack"/>
      <w:bookmarkEnd w:id="0"/>
      <w:r>
        <w:rPr>
          <w:rFonts w:eastAsia="楷体_GB2312"/>
          <w:b/>
          <w:sz w:val="32"/>
          <w:szCs w:val="32"/>
        </w:rPr>
        <w:t>基本情况</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(一)株洲市芦淞区环境卫生服务中心基本情况</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株洲市芦淞区环境卫生服务中心，为芦淞区城市管理和综合执法局的二级机构，副科级公益二类事业单位。主要职责是：</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一、负责辖区主次干道清扫保洁和城市生活垃圾收集、清运的监督检查、考评指导、服务协调；</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二、负责辖区城市生活垃圾处理费的征收；</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三、负责管辖范围内环卫设施设备的管理、维护和维修；</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四、负责对辖区范围内环卫基础设施建设的建议及环境卫生的宣传教育工作；</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五、完成区委、区人民政府及上级部门交办的其他工作。</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eastAsia="楷体_GB2312"/>
          <w:b/>
          <w:sz w:val="32"/>
          <w:szCs w:val="32"/>
        </w:rPr>
      </w:pPr>
      <w:r>
        <w:rPr>
          <w:rFonts w:hint="eastAsia" w:ascii="仿宋" w:hAnsi="仿宋" w:eastAsia="仿宋" w:cs="仿宋"/>
          <w:b w:val="0"/>
          <w:bCs w:val="0"/>
          <w:color w:val="000000"/>
          <w:kern w:val="0"/>
          <w:sz w:val="32"/>
          <w:szCs w:val="32"/>
        </w:rPr>
        <w:t>我单位现设五个(科)室，即综合办公室、业务考评室、设施设备管理科、建宁驿站管理办公室、收费中心。我单位现共有编制人数</w:t>
      </w:r>
      <w:r>
        <w:rPr>
          <w:rFonts w:hint="eastAsia" w:ascii="仿宋" w:hAnsi="仿宋" w:eastAsia="仿宋" w:cs="仿宋"/>
          <w:b w:val="0"/>
          <w:bCs w:val="0"/>
          <w:color w:val="000000"/>
          <w:kern w:val="0"/>
          <w:sz w:val="32"/>
          <w:szCs w:val="32"/>
          <w:lang w:val="en-US" w:eastAsia="zh-CN"/>
        </w:rPr>
        <w:t>104人</w:t>
      </w:r>
      <w:r>
        <w:rPr>
          <w:rFonts w:hint="eastAsia" w:ascii="仿宋" w:hAnsi="仿宋" w:eastAsia="仿宋" w:cs="仿宋"/>
          <w:b w:val="0"/>
          <w:bCs w:val="0"/>
          <w:color w:val="000000"/>
          <w:kern w:val="0"/>
          <w:sz w:val="32"/>
          <w:szCs w:val="32"/>
        </w:rPr>
        <w:t>。</w:t>
      </w:r>
    </w:p>
    <w:p>
      <w:pPr>
        <w:keepNext w:val="0"/>
        <w:keepLines w:val="0"/>
        <w:pageBreakBefore w:val="0"/>
        <w:numPr>
          <w:ilvl w:val="0"/>
          <w:numId w:val="1"/>
        </w:numPr>
        <w:wordWrap/>
        <w:overflowPunct/>
        <w:topLinePunct w:val="0"/>
        <w:bidi w:val="0"/>
        <w:spacing w:line="560" w:lineRule="exact"/>
        <w:ind w:left="0" w:firstLine="643" w:firstLineChars="200"/>
        <w:jc w:val="both"/>
        <w:rPr>
          <w:rFonts w:hint="eastAsia" w:eastAsia="楷体_GB2312"/>
          <w:b/>
          <w:sz w:val="32"/>
          <w:szCs w:val="32"/>
          <w:lang w:eastAsia="zh-CN"/>
        </w:rPr>
      </w:pPr>
      <w:r>
        <w:rPr>
          <w:rFonts w:eastAsia="楷体_GB2312"/>
          <w:b/>
          <w:sz w:val="32"/>
          <w:szCs w:val="32"/>
        </w:rPr>
        <w:t>部门（单位）年度整体支出绩效目标，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r>
        <w:rPr>
          <w:rFonts w:hint="eastAsia" w:eastAsia="楷体_GB2312"/>
          <w:b/>
          <w:sz w:val="32"/>
          <w:szCs w:val="32"/>
          <w:lang w:eastAsia="zh-CN"/>
        </w:rPr>
        <w:t>。</w:t>
      </w:r>
    </w:p>
    <w:p>
      <w:pPr>
        <w:keepNext w:val="0"/>
        <w:keepLines w:val="0"/>
        <w:pageBreakBefore w:val="0"/>
        <w:tabs>
          <w:tab w:val="left" w:pos="7560"/>
        </w:tabs>
        <w:wordWrap/>
        <w:overflowPunct/>
        <w:topLinePunct w:val="0"/>
        <w:bidi w:val="0"/>
        <w:adjustRightInd w:val="0"/>
        <w:snapToGrid w:val="0"/>
        <w:spacing w:line="5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b w:val="0"/>
          <w:bCs w:val="0"/>
          <w:color w:val="000000"/>
          <w:kern w:val="0"/>
          <w:sz w:val="32"/>
          <w:szCs w:val="32"/>
        </w:rPr>
        <w:t>按照城市考评工作要求，有力有序有效开</w:t>
      </w:r>
      <w:r>
        <w:rPr>
          <w:rFonts w:hint="eastAsia" w:ascii="仿宋" w:hAnsi="仿宋" w:eastAsia="仿宋" w:cs="仿宋"/>
          <w:color w:val="000000"/>
          <w:kern w:val="0"/>
          <w:sz w:val="32"/>
          <w:szCs w:val="32"/>
        </w:rPr>
        <w:t>展各项工作，争取在市区城市考评中名次靠前；加强城区内各办事处所辖行政区域内的生活垃圾清运及垃圾站点清扫保洁及维护管理，做到垃圾日产日清；加强建宁驿站精细化管理，建立全市建宁驿站管护长效机制。</w:t>
      </w:r>
    </w:p>
    <w:p>
      <w:pPr>
        <w:keepNext w:val="0"/>
        <w:keepLines w:val="0"/>
        <w:pageBreakBefore w:val="0"/>
        <w:wordWrap/>
        <w:overflowPunct/>
        <w:topLinePunct w:val="0"/>
        <w:bidi w:val="0"/>
        <w:spacing w:line="560" w:lineRule="exact"/>
        <w:ind w:left="0"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二、一般公共预算支出情况</w:t>
      </w:r>
    </w:p>
    <w:p>
      <w:pPr>
        <w:keepNext w:val="0"/>
        <w:keepLines w:val="0"/>
        <w:pageBreakBefore w:val="0"/>
        <w:wordWrap/>
        <w:overflowPunct/>
        <w:topLinePunct w:val="0"/>
        <w:bidi w:val="0"/>
        <w:spacing w:line="560" w:lineRule="exact"/>
        <w:ind w:left="0" w:firstLine="640" w:firstLineChars="200"/>
        <w:jc w:val="both"/>
        <w:rPr>
          <w:rFonts w:hint="eastAsia" w:eastAsia="仿宋"/>
          <w:color w:val="auto"/>
          <w:sz w:val="32"/>
          <w:szCs w:val="32"/>
        </w:rPr>
      </w:pPr>
      <w:r>
        <w:rPr>
          <w:rFonts w:hint="eastAsia" w:eastAsia="仿宋"/>
          <w:color w:val="auto"/>
          <w:sz w:val="32"/>
          <w:szCs w:val="32"/>
        </w:rPr>
        <w:t>（一）基本支出情况</w:t>
      </w:r>
    </w:p>
    <w:p>
      <w:pPr>
        <w:keepNext w:val="0"/>
        <w:keepLines w:val="0"/>
        <w:pageBreakBefore w:val="0"/>
        <w:wordWrap/>
        <w:overflowPunct/>
        <w:topLinePunct w:val="0"/>
        <w:bidi w:val="0"/>
        <w:spacing w:line="560" w:lineRule="exact"/>
        <w:ind w:left="0" w:firstLine="640" w:firstLineChars="200"/>
        <w:jc w:val="both"/>
        <w:rPr>
          <w:rFonts w:hint="default" w:eastAsia="仿宋"/>
          <w:color w:val="auto"/>
          <w:sz w:val="32"/>
          <w:szCs w:val="32"/>
          <w:lang w:val="en-US" w:eastAsia="zh-CN"/>
        </w:rPr>
      </w:pPr>
      <w:r>
        <w:rPr>
          <w:rFonts w:hint="eastAsia" w:eastAsia="仿宋"/>
          <w:color w:val="auto"/>
          <w:sz w:val="32"/>
          <w:szCs w:val="32"/>
          <w:lang w:val="en-US" w:eastAsia="zh-CN"/>
        </w:rPr>
        <w:t>1、</w:t>
      </w:r>
      <w:r>
        <w:rPr>
          <w:rFonts w:ascii="Times New Roman" w:hAnsi="Times New Roman" w:eastAsia="仿宋" w:cs="Times New Roman"/>
          <w:color w:val="auto"/>
          <w:kern w:val="2"/>
          <w:sz w:val="32"/>
          <w:szCs w:val="32"/>
          <w:lang w:val="en-US" w:eastAsia="zh-CN" w:bidi="ar-SA"/>
        </w:rPr>
        <w:t>2020年预算资金</w:t>
      </w:r>
      <w:r>
        <w:rPr>
          <w:rFonts w:hint="eastAsia" w:ascii="Times New Roman" w:hAnsi="Times New Roman" w:eastAsia="仿宋" w:cs="Times New Roman"/>
          <w:color w:val="auto"/>
          <w:kern w:val="2"/>
          <w:sz w:val="32"/>
          <w:szCs w:val="32"/>
          <w:lang w:val="en-US" w:eastAsia="zh-CN" w:bidi="ar-SA"/>
        </w:rPr>
        <w:t>一般公共预算财政拨款</w:t>
      </w:r>
      <w:r>
        <w:rPr>
          <w:rFonts w:hint="eastAsia" w:eastAsia="仿宋" w:cs="Times New Roman"/>
          <w:color w:val="auto"/>
          <w:kern w:val="2"/>
          <w:sz w:val="32"/>
          <w:szCs w:val="32"/>
          <w:lang w:val="en-US" w:eastAsia="zh-CN" w:bidi="ar-SA"/>
        </w:rPr>
        <w:t>6564.32</w:t>
      </w:r>
      <w:r>
        <w:rPr>
          <w:rFonts w:hint="eastAsia" w:ascii="Times New Roman" w:hAnsi="Times New Roman" w:eastAsia="仿宋" w:cs="Times New Roman"/>
          <w:color w:val="auto"/>
          <w:kern w:val="2"/>
          <w:sz w:val="32"/>
          <w:szCs w:val="32"/>
          <w:lang w:val="en-US" w:eastAsia="zh-CN" w:bidi="ar-SA"/>
        </w:rPr>
        <w:t>万元</w:t>
      </w:r>
      <w:r>
        <w:rPr>
          <w:rFonts w:hint="eastAsia" w:eastAsia="仿宋" w:cs="Times New Roman"/>
          <w:color w:val="auto"/>
          <w:kern w:val="2"/>
          <w:sz w:val="32"/>
          <w:szCs w:val="32"/>
          <w:lang w:val="en-US" w:eastAsia="zh-CN" w:bidi="ar-SA"/>
        </w:rPr>
        <w:t>。</w:t>
      </w:r>
    </w:p>
    <w:p>
      <w:pPr>
        <w:keepNext w:val="0"/>
        <w:keepLines w:val="0"/>
        <w:pageBreakBefore w:val="0"/>
        <w:wordWrap/>
        <w:overflowPunct/>
        <w:topLinePunct w:val="0"/>
        <w:bidi w:val="0"/>
        <w:spacing w:line="560" w:lineRule="exact"/>
        <w:ind w:left="0" w:firstLine="640" w:firstLineChars="200"/>
        <w:jc w:val="both"/>
        <w:rPr>
          <w:rFonts w:hint="default" w:eastAsia="仿宋"/>
          <w:color w:val="auto"/>
          <w:sz w:val="32"/>
          <w:szCs w:val="32"/>
          <w:lang w:val="en-US" w:eastAsia="zh-CN"/>
        </w:rPr>
      </w:pPr>
      <w:r>
        <w:rPr>
          <w:rFonts w:hint="eastAsia" w:eastAsia="仿宋"/>
          <w:color w:val="auto"/>
          <w:sz w:val="32"/>
          <w:szCs w:val="32"/>
          <w:lang w:val="en-US" w:eastAsia="zh-CN"/>
        </w:rPr>
        <w:t>2、2021年度</w:t>
      </w:r>
      <w:r>
        <w:rPr>
          <w:rFonts w:hint="eastAsia" w:eastAsia="仿宋"/>
          <w:color w:val="auto"/>
          <w:sz w:val="32"/>
          <w:szCs w:val="32"/>
        </w:rPr>
        <w:t>单位一般公共预算财政拨款收入</w:t>
      </w:r>
      <w:r>
        <w:rPr>
          <w:rFonts w:hint="eastAsia" w:eastAsia="仿宋"/>
          <w:color w:val="auto"/>
          <w:sz w:val="32"/>
          <w:szCs w:val="32"/>
          <w:lang w:val="en-US" w:eastAsia="zh-CN"/>
        </w:rPr>
        <w:t>6564.32万元。</w:t>
      </w:r>
    </w:p>
    <w:p>
      <w:pPr>
        <w:keepNext w:val="0"/>
        <w:keepLines w:val="0"/>
        <w:pageBreakBefore w:val="0"/>
        <w:wordWrap/>
        <w:overflowPunct/>
        <w:topLinePunct w:val="0"/>
        <w:bidi w:val="0"/>
        <w:spacing w:line="560" w:lineRule="exact"/>
        <w:ind w:left="0" w:firstLine="640" w:firstLineChars="200"/>
        <w:jc w:val="both"/>
        <w:rPr>
          <w:rFonts w:hint="eastAsia" w:eastAsia="仿宋"/>
          <w:color w:val="0000FF"/>
          <w:sz w:val="32"/>
          <w:szCs w:val="32"/>
          <w:lang w:val="en-US" w:eastAsia="zh-CN"/>
        </w:rPr>
      </w:pPr>
      <w:r>
        <w:rPr>
          <w:rFonts w:hint="eastAsia" w:eastAsia="仿宋"/>
          <w:color w:val="auto"/>
          <w:sz w:val="32"/>
          <w:szCs w:val="32"/>
        </w:rPr>
        <w:t>3</w:t>
      </w:r>
      <w:r>
        <w:rPr>
          <w:rFonts w:hint="eastAsia" w:eastAsia="仿宋"/>
          <w:color w:val="auto"/>
          <w:sz w:val="32"/>
          <w:szCs w:val="32"/>
          <w:lang w:eastAsia="zh-CN"/>
        </w:rPr>
        <w:t>、</w:t>
      </w:r>
      <w:r>
        <w:rPr>
          <w:rFonts w:hint="eastAsia" w:eastAsia="仿宋"/>
          <w:color w:val="auto"/>
          <w:sz w:val="32"/>
          <w:szCs w:val="32"/>
          <w:lang w:val="en-US" w:eastAsia="zh-CN"/>
        </w:rPr>
        <w:t>2021年度</w:t>
      </w:r>
      <w:r>
        <w:rPr>
          <w:rFonts w:hint="eastAsia" w:eastAsia="仿宋"/>
          <w:color w:val="auto"/>
          <w:sz w:val="32"/>
          <w:szCs w:val="32"/>
        </w:rPr>
        <w:t>单位一般公共预算财政拨款</w:t>
      </w:r>
      <w:r>
        <w:rPr>
          <w:rFonts w:hint="eastAsia" w:eastAsia="仿宋"/>
          <w:color w:val="auto"/>
          <w:sz w:val="32"/>
          <w:szCs w:val="32"/>
          <w:lang w:eastAsia="zh-CN"/>
        </w:rPr>
        <w:t>支出</w:t>
      </w:r>
      <w:r>
        <w:rPr>
          <w:rFonts w:hint="eastAsia" w:eastAsia="仿宋"/>
          <w:color w:val="auto"/>
          <w:sz w:val="32"/>
          <w:szCs w:val="32"/>
          <w:lang w:val="en-US" w:eastAsia="zh-CN"/>
        </w:rPr>
        <w:t>6564.32万元。</w:t>
      </w:r>
      <w:r>
        <w:rPr>
          <w:rFonts w:hint="eastAsia" w:eastAsia="仿宋"/>
          <w:color w:val="auto"/>
          <w:sz w:val="32"/>
          <w:szCs w:val="32"/>
        </w:rPr>
        <w:t>其中：项目支出</w:t>
      </w:r>
      <w:r>
        <w:rPr>
          <w:rFonts w:hint="eastAsia" w:eastAsia="仿宋"/>
          <w:color w:val="auto"/>
          <w:sz w:val="32"/>
          <w:szCs w:val="32"/>
          <w:lang w:val="en-US" w:eastAsia="zh-CN"/>
        </w:rPr>
        <w:t>4695.12</w:t>
      </w:r>
      <w:r>
        <w:rPr>
          <w:rFonts w:hint="eastAsia" w:eastAsia="仿宋"/>
          <w:color w:val="auto"/>
          <w:sz w:val="32"/>
          <w:szCs w:val="32"/>
        </w:rPr>
        <w:t>万元，基本支出</w:t>
      </w:r>
      <w:r>
        <w:rPr>
          <w:rFonts w:hint="eastAsia" w:eastAsia="仿宋"/>
          <w:color w:val="auto"/>
          <w:sz w:val="32"/>
          <w:szCs w:val="32"/>
          <w:lang w:val="en-US" w:eastAsia="zh-CN"/>
        </w:rPr>
        <w:t>1869.20</w:t>
      </w:r>
      <w:r>
        <w:rPr>
          <w:rFonts w:hint="eastAsia" w:eastAsia="仿宋"/>
          <w:color w:val="auto"/>
          <w:sz w:val="32"/>
          <w:szCs w:val="32"/>
        </w:rPr>
        <w:t>万元</w:t>
      </w:r>
      <w:r>
        <w:rPr>
          <w:rFonts w:eastAsia="仿宋"/>
          <w:color w:val="auto"/>
          <w:sz w:val="32"/>
          <w:szCs w:val="32"/>
        </w:rPr>
        <w:t>，其中：人员经费</w:t>
      </w:r>
      <w:r>
        <w:rPr>
          <w:rFonts w:hint="eastAsia" w:eastAsia="仿宋"/>
          <w:color w:val="auto"/>
          <w:sz w:val="32"/>
          <w:szCs w:val="32"/>
          <w:lang w:val="en-US" w:eastAsia="zh-CN"/>
        </w:rPr>
        <w:t>1735.50</w:t>
      </w:r>
      <w:r>
        <w:rPr>
          <w:rFonts w:eastAsia="仿宋"/>
          <w:color w:val="auto"/>
          <w:sz w:val="32"/>
          <w:szCs w:val="32"/>
        </w:rPr>
        <w:t>万元，公用经费</w:t>
      </w:r>
      <w:r>
        <w:rPr>
          <w:rFonts w:hint="eastAsia" w:eastAsia="仿宋"/>
          <w:color w:val="auto"/>
          <w:sz w:val="32"/>
          <w:szCs w:val="32"/>
          <w:lang w:val="en-US" w:eastAsia="zh-CN"/>
        </w:rPr>
        <w:t>133.71万</w:t>
      </w:r>
      <w:r>
        <w:rPr>
          <w:rFonts w:eastAsia="仿宋"/>
          <w:color w:val="auto"/>
          <w:sz w:val="32"/>
          <w:szCs w:val="32"/>
        </w:rPr>
        <w:t>元。</w:t>
      </w:r>
    </w:p>
    <w:p>
      <w:pPr>
        <w:pStyle w:val="6"/>
        <w:keepNext w:val="0"/>
        <w:keepLines w:val="0"/>
        <w:pageBreakBefore w:val="0"/>
        <w:numPr>
          <w:ilvl w:val="0"/>
          <w:numId w:val="2"/>
        </w:numPr>
        <w:wordWrap/>
        <w:overflowPunct/>
        <w:topLinePunct w:val="0"/>
        <w:bidi w:val="0"/>
        <w:spacing w:line="560" w:lineRule="exact"/>
        <w:ind w:left="0" w:firstLine="643" w:firstLineChars="200"/>
        <w:jc w:val="both"/>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pPr>
        <w:pStyle w:val="6"/>
        <w:keepNext w:val="0"/>
        <w:keepLines w:val="0"/>
        <w:pageBreakBefore w:val="0"/>
        <w:numPr>
          <w:ilvl w:val="0"/>
          <w:numId w:val="3"/>
        </w:numPr>
        <w:wordWrap/>
        <w:overflowPunct/>
        <w:topLinePunct w:val="0"/>
        <w:bidi w:val="0"/>
        <w:spacing w:line="560" w:lineRule="exact"/>
        <w:ind w:left="0" w:leftChars="0" w:firstLine="640" w:firstLineChars="200"/>
        <w:jc w:val="both"/>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环卫市场化项目支出4231.67万元；2、建宁驿站项目支出304.77万元；3、公厕、垃圾站运营维护、改造项目支出158.68万元；4、大气污染防治项目支出86.08万元；5、环卫市政用水项目支出50万元。</w:t>
      </w:r>
    </w:p>
    <w:p>
      <w:pPr>
        <w:pStyle w:val="6"/>
        <w:keepNext w:val="0"/>
        <w:keepLines w:val="0"/>
        <w:pageBreakBefore w:val="0"/>
        <w:wordWrap/>
        <w:overflowPunct/>
        <w:topLinePunct w:val="0"/>
        <w:bidi w:val="0"/>
        <w:spacing w:line="560" w:lineRule="exact"/>
        <w:ind w:left="0" w:firstLine="640" w:firstLineChars="200"/>
        <w:jc w:val="both"/>
        <w:rPr>
          <w:rFonts w:hint="default" w:ascii="Times New Roman" w:hAnsi="Times New Roman" w:eastAsia="仿宋" w:cs="Times New Roman"/>
          <w:color w:val="auto"/>
          <w:kern w:val="2"/>
          <w:sz w:val="32"/>
          <w:szCs w:val="32"/>
          <w:lang w:val="en-US" w:eastAsia="zh-CN" w:bidi="ar-SA"/>
        </w:rPr>
      </w:pPr>
      <w:r>
        <w:rPr>
          <w:rFonts w:hint="eastAsia" w:eastAsia="仿宋_GB2312" w:cs="Times New Roman"/>
          <w:sz w:val="32"/>
          <w:szCs w:val="32"/>
          <w:lang w:val="en-US" w:eastAsia="zh-CN"/>
        </w:rPr>
        <w:t>我中心各项专项资金的申请、使用都符合国家及上级部门的管理规定，按实际使用需求和规定程序向芦淞区财政局和上级单位芦淞区城管局申请审批资金。各项专项资金的使用，都坚持专款专用的的原则，使各项专用资金正确使用并达到预期目标。</w:t>
      </w:r>
    </w:p>
    <w:p>
      <w:pPr>
        <w:pStyle w:val="6"/>
        <w:keepNext w:val="0"/>
        <w:keepLines w:val="0"/>
        <w:pageBreakBefore w:val="0"/>
        <w:wordWrap/>
        <w:overflowPunct/>
        <w:topLinePunct w:val="0"/>
        <w:bidi w:val="0"/>
        <w:spacing w:line="560" w:lineRule="exact"/>
        <w:ind w:left="0" w:firstLine="640" w:firstLineChars="200"/>
        <w:jc w:val="both"/>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6"/>
        <w:keepNext w:val="0"/>
        <w:keepLines w:val="0"/>
        <w:pageBreakBefore w:val="0"/>
        <w:numPr>
          <w:ilvl w:val="0"/>
          <w:numId w:val="0"/>
        </w:numPr>
        <w:wordWrap/>
        <w:overflowPunct/>
        <w:topLinePunct w:val="0"/>
        <w:bidi w:val="0"/>
        <w:spacing w:line="560" w:lineRule="exact"/>
        <w:ind w:left="0"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仿宋_GB2312" w:hAnsi="宋体" w:eastAsia="仿宋_GB2312"/>
          <w:color w:val="auto"/>
          <w:sz w:val="32"/>
          <w:szCs w:val="32"/>
          <w:lang w:eastAsia="zh-CN"/>
        </w:rPr>
        <w:t>无。</w:t>
      </w:r>
    </w:p>
    <w:p>
      <w:pPr>
        <w:pStyle w:val="6"/>
        <w:keepNext w:val="0"/>
        <w:keepLines w:val="0"/>
        <w:pageBreakBefore w:val="0"/>
        <w:numPr>
          <w:ilvl w:val="0"/>
          <w:numId w:val="4"/>
        </w:numPr>
        <w:wordWrap/>
        <w:overflowPunct/>
        <w:topLinePunct w:val="0"/>
        <w:bidi w:val="0"/>
        <w:spacing w:line="560" w:lineRule="exact"/>
        <w:ind w:left="0" w:firstLine="640" w:firstLineChars="200"/>
        <w:jc w:val="both"/>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6"/>
        <w:keepNext w:val="0"/>
        <w:keepLines w:val="0"/>
        <w:pageBreakBefore w:val="0"/>
        <w:numPr>
          <w:ilvl w:val="0"/>
          <w:numId w:val="0"/>
        </w:numPr>
        <w:wordWrap/>
        <w:overflowPunct/>
        <w:topLinePunct w:val="0"/>
        <w:bidi w:val="0"/>
        <w:spacing w:line="560" w:lineRule="exact"/>
        <w:ind w:left="0" w:firstLine="640" w:firstLineChars="200"/>
        <w:jc w:val="both"/>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无</w:t>
      </w:r>
      <w:r>
        <w:rPr>
          <w:rFonts w:hint="eastAsia" w:ascii="仿宋_GB2312" w:hAnsi="宋体" w:eastAsia="仿宋_GB2312"/>
          <w:color w:val="auto"/>
          <w:sz w:val="32"/>
          <w:szCs w:val="32"/>
          <w:lang w:eastAsia="zh-CN"/>
        </w:rPr>
        <w:t>。</w:t>
      </w:r>
    </w:p>
    <w:p>
      <w:pPr>
        <w:pStyle w:val="6"/>
        <w:keepNext w:val="0"/>
        <w:keepLines w:val="0"/>
        <w:pageBreakBefore w:val="0"/>
        <w:numPr>
          <w:ilvl w:val="0"/>
          <w:numId w:val="4"/>
        </w:numPr>
        <w:wordWrap/>
        <w:overflowPunct/>
        <w:topLinePunct w:val="0"/>
        <w:bidi w:val="0"/>
        <w:spacing w:line="560" w:lineRule="exact"/>
        <w:ind w:left="0" w:leftChars="0" w:firstLine="640" w:firstLineChars="200"/>
        <w:jc w:val="both"/>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6"/>
        <w:keepNext w:val="0"/>
        <w:keepLines w:val="0"/>
        <w:pageBreakBefore w:val="0"/>
        <w:numPr>
          <w:ilvl w:val="0"/>
          <w:numId w:val="0"/>
        </w:numPr>
        <w:wordWrap/>
        <w:overflowPunct/>
        <w:topLinePunct w:val="0"/>
        <w:bidi w:val="0"/>
        <w:spacing w:line="560" w:lineRule="exact"/>
        <w:ind w:left="0"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r>
        <w:rPr>
          <w:rFonts w:hint="eastAsia" w:ascii="仿宋_GB2312" w:hAnsi="宋体" w:eastAsia="仿宋_GB2312"/>
          <w:color w:val="auto"/>
          <w:sz w:val="32"/>
          <w:szCs w:val="32"/>
          <w:lang w:eastAsia="zh-CN"/>
        </w:rPr>
        <w:t>。</w:t>
      </w:r>
    </w:p>
    <w:p>
      <w:pPr>
        <w:keepNext w:val="0"/>
        <w:keepLines w:val="0"/>
        <w:pageBreakBefore w:val="0"/>
        <w:wordWrap/>
        <w:overflowPunct/>
        <w:topLinePunct w:val="0"/>
        <w:bidi w:val="0"/>
        <w:spacing w:line="560" w:lineRule="exact"/>
        <w:ind w:left="0" w:firstLine="640" w:firstLineChars="200"/>
        <w:jc w:val="both"/>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pPr>
        <w:keepNext w:val="0"/>
        <w:keepLines w:val="0"/>
        <w:pageBreakBefore w:val="0"/>
        <w:wordWrap/>
        <w:overflowPunct/>
        <w:topLinePunct w:val="0"/>
        <w:bidi w:val="0"/>
        <w:spacing w:line="560" w:lineRule="exact"/>
        <w:ind w:left="0" w:firstLine="643" w:firstLineChars="200"/>
        <w:jc w:val="both"/>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在区委区政府的坚强领导下，在市、区城管局的悉心指导下，我中心坚持以“党务+业务+服务”的工作理念贯穿全线，围绕城市管理中心工作，积极践行“我为群众办实事”主旨，带领中心干部职工积极开展各项工作。</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1、环卫市场化管理高效有序。</w:t>
      </w:r>
      <w:r>
        <w:rPr>
          <w:rFonts w:hint="eastAsia" w:ascii="仿宋" w:hAnsi="仿宋" w:eastAsia="仿宋" w:cs="仿宋"/>
          <w:color w:val="auto"/>
          <w:sz w:val="32"/>
          <w:szCs w:val="32"/>
        </w:rPr>
        <w:t>2021年5月，芦淞区实施了第四轮环卫清扫保洁市场化运作。环卫保洁市场化面积为520万㎡，标段设置按照“条块结合”的模式，以主次干道（2个标段）、办事处（7个标段，含钟鼓岭片区）为界，共划分为9个标段，其市场化服务中标年金额为4504.6万元。本轮市场化环卫作业设备新车配置率达95%，为城市公共区域的垃圾分类工作的高效实施提供了硬件保障。环卫市场化日常作业实行市、区、环卫和街道三级综合考核模式。我中心严格按照标准，以“白+黑”的模式对市场化各公司的道路清扫保洁、公厕保洁、垃圾清运等进行检查考评，并根据综合评议得分，按月拨付全额或扣除相应罚款后的环卫保洁经费，实行经费与绩效挂钩，确保了市场化良性运转，日常监管常态长效。并严格落实考核奖励制度，按照《株洲市芦淞区环境卫生管理考评办法》及《株洲市芦淞区环境卫生考评细则及标准》，每月对我区环境卫生质量进行考核排名。1-4月份，对成绩靠前的市场化公司发放奖金6000元。全年，对辖区公司下达业务督办85期，督查通报276期，处理环卫类案卷22912条，清运生活垃圾约119732.1吨。</w:t>
      </w:r>
      <w:r>
        <w:rPr>
          <w:rFonts w:hint="eastAsia" w:ascii="仿宋" w:hAnsi="仿宋" w:eastAsia="仿宋" w:cs="仿宋"/>
          <w:color w:val="auto"/>
          <w:sz w:val="32"/>
          <w:szCs w:val="32"/>
          <w:lang w:eastAsia="zh-CN"/>
        </w:rPr>
        <w:t>全年</w:t>
      </w:r>
      <w:r>
        <w:rPr>
          <w:rFonts w:hint="eastAsia" w:ascii="仿宋" w:hAnsi="仿宋" w:eastAsia="仿宋" w:cs="仿宋"/>
          <w:color w:val="auto"/>
          <w:sz w:val="32"/>
          <w:szCs w:val="32"/>
        </w:rPr>
        <w:t>，芦淞区环卫专业成绩在全市城市管理考核评比中综合排名第二（获得2个第一、2个第二、4个第三）。</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2、环卫设施设备不断提质更新。</w:t>
      </w:r>
      <w:r>
        <w:rPr>
          <w:rFonts w:hint="eastAsia" w:ascii="仿宋" w:hAnsi="仿宋" w:eastAsia="仿宋" w:cs="仿宋"/>
          <w:b/>
          <w:color w:val="auto"/>
          <w:sz w:val="32"/>
          <w:szCs w:val="32"/>
        </w:rPr>
        <w:t>一是垃圾站升级改造。</w:t>
      </w:r>
      <w:r>
        <w:rPr>
          <w:rFonts w:hint="eastAsia" w:ascii="仿宋" w:hAnsi="仿宋" w:eastAsia="仿宋" w:cs="仿宋"/>
          <w:color w:val="auto"/>
          <w:sz w:val="32"/>
          <w:szCs w:val="32"/>
        </w:rPr>
        <w:t>2021年，文化园、三角叉两座垃圾站升级改造项目列为芦淞区人大票决民生事项，投入总金额为326万元（包括两座站的主体建设、2台勾臂车和4个压缩箱）。现文化园垃圾中转站已完工，三角叉垃圾站已完成立项、设计、财评、政府采购等手续，原垃圾站主体已拆除，现由于地基基础问题，需要进行地勘，将涉及到调整概算、追加经费等问题。改造后的两座转运站均为双机位压缩箱，日处理量将达到100吨，能实现厨余垃圾和其他垃圾分类转运，密闭运输，为进一步推进我区垃圾分类工作提供了基础保障。</w:t>
      </w:r>
      <w:r>
        <w:rPr>
          <w:rFonts w:hint="eastAsia" w:ascii="仿宋" w:hAnsi="仿宋" w:eastAsia="仿宋" w:cs="仿宋"/>
          <w:b/>
          <w:color w:val="auto"/>
          <w:sz w:val="32"/>
          <w:szCs w:val="32"/>
        </w:rPr>
        <w:t>二是环卫设备更新迭代。</w:t>
      </w:r>
      <w:r>
        <w:rPr>
          <w:rFonts w:hint="eastAsia" w:ascii="仿宋" w:hAnsi="仿宋" w:eastAsia="仿宋" w:cs="仿宋"/>
          <w:color w:val="auto"/>
          <w:sz w:val="32"/>
          <w:szCs w:val="32"/>
        </w:rPr>
        <w:t>处置7台存在严重安全隐患的老旧车辆，新购置生产服务用车1台，专用运输车2台，洒水车2台，洗扫车2台，总投入经费约340.99万元。环卫作业效果显著提升，安全生产进一步得到有力保障。</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3、生活垃圾处理费收取应收尽收。</w:t>
      </w:r>
      <w:r>
        <w:rPr>
          <w:rFonts w:hint="eastAsia" w:ascii="仿宋" w:hAnsi="仿宋" w:eastAsia="仿宋" w:cs="仿宋"/>
          <w:bCs/>
          <w:color w:val="auto"/>
          <w:sz w:val="32"/>
          <w:szCs w:val="32"/>
        </w:rPr>
        <w:t>全年，共完成生活垃圾处理费征收891万元，</w:t>
      </w:r>
      <w:r>
        <w:rPr>
          <w:rFonts w:hint="eastAsia" w:ascii="仿宋" w:hAnsi="仿宋" w:eastAsia="仿宋" w:cs="仿宋"/>
          <w:color w:val="auto"/>
          <w:sz w:val="32"/>
          <w:szCs w:val="32"/>
        </w:rPr>
        <w:t>其中自收部分为478万元，居民水费代扣部分为413万元（含渌口）。并对180个单位、3000个门店（包括商场）的营业情况进行了摸底调查，完成对高科园大型单位垃圾清运撤斗相关工作的交接。根据国家2021年5月出台的相关文件精神，自7月1日起城镇垃圾处理费划转至税务部门征收，按照区政府工作安排，今年的7月至12月暂由我中心负责代收。同时，积极推进单位变更为全额拨款事业单位的工作，与区财政、区人社、区编办等部门进行了充分沟通，已提交区六届人民政府第2次常务会议审议通过。</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4、</w:t>
      </w:r>
      <w:r>
        <w:rPr>
          <w:rFonts w:hint="eastAsia" w:ascii="楷体" w:hAnsi="楷体" w:eastAsia="楷体" w:cs="楷体"/>
          <w:b/>
          <w:bCs/>
          <w:color w:val="auto"/>
          <w:sz w:val="32"/>
          <w:szCs w:val="32"/>
        </w:rPr>
        <w:t>建宁驿站管养规范服务优质。</w:t>
      </w:r>
      <w:r>
        <w:rPr>
          <w:rFonts w:hint="eastAsia" w:ascii="仿宋" w:hAnsi="仿宋" w:eastAsia="仿宋" w:cs="仿宋"/>
          <w:color w:val="auto"/>
          <w:spacing w:val="-4"/>
          <w:sz w:val="32"/>
          <w:szCs w:val="32"/>
        </w:rPr>
        <w:t>围绕建宁驿站“干净整洁、设施完好、功能完备、管理规范、服务一流”的目标要求，做好驿站保洁人员的管理、消耗用品的配送、设施设备维修等日常维护管理工作。全年，</w:t>
      </w:r>
      <w:r>
        <w:rPr>
          <w:rFonts w:hint="eastAsia" w:ascii="仿宋" w:hAnsi="仿宋" w:eastAsia="仿宋" w:cs="仿宋"/>
          <w:color w:val="auto"/>
          <w:sz w:val="32"/>
          <w:szCs w:val="32"/>
        </w:rPr>
        <w:t>组织驿站管理人员进行集中业务培训7次，维修驿站约660余座次，疏通下水530余次、添置卫生纸14400余卷、洗手液390袋、马桶垫1510卷、垃圾袋5050余卷、更换灯泡80个、水龙头37个。预估年度支出费用392万元，原300万元管养经费难以维持。鉴于建宁驿站</w:t>
      </w:r>
      <w:r>
        <w:rPr>
          <w:rFonts w:hint="eastAsia" w:ascii="仿宋" w:hAnsi="仿宋" w:eastAsia="仿宋" w:cs="仿宋"/>
          <w:bCs/>
          <w:color w:val="auto"/>
          <w:sz w:val="32"/>
          <w:szCs w:val="32"/>
        </w:rPr>
        <w:t>管养成本持续增加、商业收益不佳、外聘人员存在管理风险</w:t>
      </w:r>
      <w:r>
        <w:rPr>
          <w:rFonts w:hint="eastAsia" w:ascii="仿宋" w:hAnsi="仿宋" w:eastAsia="仿宋" w:cs="仿宋"/>
          <w:color w:val="auto"/>
          <w:sz w:val="32"/>
          <w:szCs w:val="32"/>
        </w:rPr>
        <w:t>等诸多因素，我中心积极推进建宁驿站市场化运作工作，已提交区六届人民政府第2次常务会议审议通过。</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5、</w:t>
      </w:r>
      <w:r>
        <w:rPr>
          <w:rFonts w:hint="eastAsia" w:ascii="楷体" w:hAnsi="楷体" w:eastAsia="楷体" w:cs="楷体"/>
          <w:b/>
          <w:bCs/>
          <w:color w:val="auto"/>
          <w:sz w:val="32"/>
          <w:szCs w:val="32"/>
        </w:rPr>
        <w:t>环线项目管理服务提质增效。</w:t>
      </w:r>
      <w:r>
        <w:rPr>
          <w:rFonts w:hint="eastAsia" w:ascii="仿宋" w:hAnsi="仿宋" w:eastAsia="仿宋" w:cs="仿宋"/>
          <w:bCs/>
          <w:color w:val="auto"/>
          <w:sz w:val="32"/>
          <w:szCs w:val="32"/>
        </w:rPr>
        <w:t>项目部科学组织、严格管理，克服作业区域范围大、渣土运输多道路污染重等困难，有序开展各项工作。一是按照作业标准认真做好环线、生命通道等辖区道路的清扫精细化保洁、洒水降尘工作。确保主干道每天洒水3-4次，辖区内6条主干道按标准进行每日清洗。并</w:t>
      </w:r>
      <w:r>
        <w:rPr>
          <w:rFonts w:hint="eastAsia" w:ascii="仿宋" w:hAnsi="仿宋" w:eastAsia="仿宋" w:cs="仿宋"/>
          <w:color w:val="auto"/>
          <w:sz w:val="32"/>
          <w:szCs w:val="32"/>
          <w:shd w:val="clear" w:color="auto" w:fill="FFFFFF"/>
        </w:rPr>
        <w:t>高效完成好各项重宾迎检任务。</w:t>
      </w:r>
      <w:r>
        <w:rPr>
          <w:rFonts w:hint="eastAsia" w:ascii="仿宋" w:hAnsi="仿宋" w:eastAsia="仿宋" w:cs="仿宋"/>
          <w:bCs/>
          <w:color w:val="auto"/>
          <w:sz w:val="32"/>
          <w:szCs w:val="32"/>
        </w:rPr>
        <w:t>同时，认真开展大气污染防治工作，每天（未下雨的情况下）安排专人、专车（雾炮车），严格按照作业路线和标准要求在芦淞区主次干道进行循环降尘洒水作业6次，全年共计出动雾炮车约960台次。三是加大对辖区主干道的清洗力度，及时清理卫生死角，及时处理各类突发的滴撒漏和道路污染问题，清理黄泥、沙石各种撒漏约300吨，清理混合垃圾共约200吨。四是组织对南环线、东环线、机场大道等重点区域开展环境卫生综合整治达30余次，包括对环线沟渠落叶、杂草的集中清理，共计出动人员700人次，水车和保洁车辆约300台次，清理垃圾共约100吨。环线项目部充分发挥出能打仗、打硬仗的主力军作用，特别是近期新增配的2台洗扫车和2台水车到位后，环线的管养质量得到进一步提升。</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6、</w:t>
      </w:r>
      <w:r>
        <w:rPr>
          <w:rFonts w:hint="eastAsia" w:ascii="楷体" w:hAnsi="楷体" w:eastAsia="楷体" w:cs="楷体"/>
          <w:b/>
          <w:bCs/>
          <w:color w:val="auto"/>
          <w:sz w:val="32"/>
          <w:szCs w:val="32"/>
        </w:rPr>
        <w:t>环卫专项工作开展亮点纷呈。</w:t>
      </w:r>
      <w:r>
        <w:rPr>
          <w:rFonts w:hint="eastAsia" w:ascii="仿宋" w:hAnsi="仿宋" w:eastAsia="仿宋" w:cs="仿宋"/>
          <w:b/>
          <w:bCs/>
          <w:color w:val="auto"/>
          <w:sz w:val="32"/>
          <w:szCs w:val="32"/>
        </w:rPr>
        <w:t>一是积极</w:t>
      </w:r>
      <w:r>
        <w:rPr>
          <w:rFonts w:hint="eastAsia" w:ascii="仿宋" w:hAnsi="仿宋" w:eastAsia="仿宋" w:cs="仿宋"/>
          <w:b/>
          <w:color w:val="auto"/>
          <w:sz w:val="32"/>
          <w:szCs w:val="32"/>
        </w:rPr>
        <w:t>推进城市生活垃圾分类工作。</w:t>
      </w:r>
      <w:r>
        <w:rPr>
          <w:rFonts w:hint="eastAsia" w:ascii="仿宋" w:hAnsi="仿宋" w:eastAsia="仿宋" w:cs="仿宋"/>
          <w:color w:val="auto"/>
          <w:sz w:val="32"/>
          <w:szCs w:val="32"/>
        </w:rPr>
        <w:t>完成主次干道858个果皮箱和158个欧盟桶垃圾分类标识的更换。对七一路（102家）、贺嘉路（174家）、车站路（46家）沿街门面安排分类运输车，配备专门的垃圾分类容器，进行分类收集和记录。对37座建宁驿站实行两分类果皮箱，更新隔间垃圾桶垃圾分类标识，在户外灯箱广告位增加垃圾分类主题宣传内容。同时，在中心广场小游园、火车站等重点区域，制作垃圾分类为主题的吉祥立体户外广告，起到了很好的宣传效果，营造了浓厚的氛围。</w:t>
      </w:r>
      <w:r>
        <w:rPr>
          <w:rFonts w:hint="eastAsia" w:ascii="仿宋" w:hAnsi="仿宋" w:eastAsia="仿宋" w:cs="仿宋"/>
          <w:b/>
          <w:color w:val="auto"/>
          <w:sz w:val="32"/>
          <w:szCs w:val="32"/>
        </w:rPr>
        <w:t>二是积极创建城市管理精细化示范街区。</w:t>
      </w:r>
      <w:r>
        <w:rPr>
          <w:rFonts w:hint="eastAsia" w:ascii="仿宋" w:hAnsi="仿宋" w:eastAsia="仿宋" w:cs="仿宋"/>
          <w:color w:val="auto"/>
          <w:sz w:val="32"/>
          <w:szCs w:val="32"/>
        </w:rPr>
        <w:t>严格按照《关于创建城市管理精细化示范街工作方案》的工作要求，制定示范街工作方案，加强督查指导。全年，成功创建了七一路、贺嘉路、车站路、建设南路（拥军路口—车站路口）4条示范街。</w:t>
      </w:r>
      <w:r>
        <w:rPr>
          <w:rFonts w:hint="eastAsia" w:ascii="仿宋" w:hAnsi="仿宋" w:eastAsia="仿宋" w:cs="仿宋"/>
          <w:b/>
          <w:color w:val="auto"/>
          <w:sz w:val="32"/>
          <w:szCs w:val="32"/>
        </w:rPr>
        <w:t>三是顺利启动第四轮环卫市场化运作。</w:t>
      </w:r>
      <w:r>
        <w:rPr>
          <w:rFonts w:hint="eastAsia" w:ascii="仿宋" w:hAnsi="仿宋" w:eastAsia="仿宋" w:cs="仿宋"/>
          <w:color w:val="auto"/>
          <w:sz w:val="32"/>
          <w:szCs w:val="32"/>
        </w:rPr>
        <w:t>经过前期的数据测算、提请审议、公开招投标等环节流程，第四轮环卫市场化于5月1日顺利启动。期间，完成了新一轮市场化公司的人员交接、设备资料审核、现场设备验收等工作，各项工作无缝对接，队伍人员稳定。现新一轮的环卫清扫保洁市场化已迈入了良性运行轨道，辖区环境卫生得到显著提升。</w:t>
      </w:r>
      <w:r>
        <w:rPr>
          <w:rFonts w:hint="eastAsia" w:ascii="仿宋" w:hAnsi="仿宋" w:eastAsia="仿宋" w:cs="仿宋"/>
          <w:b/>
          <w:color w:val="auto"/>
          <w:sz w:val="32"/>
          <w:szCs w:val="32"/>
        </w:rPr>
        <w:t>四是全力以赴完成国文、国卫复审等工作。</w:t>
      </w:r>
      <w:r>
        <w:rPr>
          <w:rFonts w:hint="eastAsia" w:ascii="仿宋" w:hAnsi="仿宋" w:eastAsia="仿宋" w:cs="仿宋"/>
          <w:color w:val="auto"/>
          <w:sz w:val="32"/>
          <w:szCs w:val="32"/>
        </w:rPr>
        <w:t>有序组织辖区各保洁公司对辖区道路进行大清洗，对36座建宁驿站、23座公厕、12座垃圾中转站进行外墙清洗和卫生死角清除，确保以最佳的状态迎检。同时在辖区各重点区域定人定责进行值守，做到了全员齐上阵，确保了我市的国文、国卫复审工作顺利通过。</w:t>
      </w:r>
      <w:r>
        <w:rPr>
          <w:rFonts w:hint="eastAsia" w:ascii="仿宋" w:hAnsi="仿宋" w:eastAsia="仿宋" w:cs="仿宋"/>
          <w:b/>
          <w:color w:val="auto"/>
          <w:sz w:val="32"/>
          <w:szCs w:val="32"/>
        </w:rPr>
        <w:t>五是开展重难点、反复性问题百日攻坚工作。</w:t>
      </w:r>
      <w:r>
        <w:rPr>
          <w:rFonts w:hint="eastAsia" w:ascii="仿宋" w:hAnsi="仿宋" w:eastAsia="仿宋" w:cs="仿宋"/>
          <w:color w:val="auto"/>
          <w:sz w:val="32"/>
          <w:szCs w:val="32"/>
        </w:rPr>
        <w:t>组织各保洁公司对整治路段进行精细化大整治、大清洗，并将该项工作纳入日常巡查考核。接下来将加强督查，举一反三，确保精细化、长效化管理。</w:t>
      </w:r>
      <w:r>
        <w:rPr>
          <w:rFonts w:hint="eastAsia" w:ascii="仿宋" w:hAnsi="仿宋" w:eastAsia="仿宋" w:cs="仿宋"/>
          <w:b/>
          <w:color w:val="auto"/>
          <w:sz w:val="32"/>
          <w:szCs w:val="32"/>
        </w:rPr>
        <w:t>六是开展环保督查整改工作。</w:t>
      </w:r>
      <w:r>
        <w:rPr>
          <w:rFonts w:hint="eastAsia" w:ascii="仿宋" w:hAnsi="仿宋" w:eastAsia="仿宋" w:cs="仿宋"/>
          <w:color w:val="auto"/>
          <w:sz w:val="32"/>
          <w:szCs w:val="32"/>
        </w:rPr>
        <w:t>3月底前，完成10座垃圾中转站环评验收工作和2座垃圾中转站环评备案工作，服务费用42.56万元。8月底前，对12座垃圾中转站设置沉淀排口、制作渗滤液围堰等，共计投入约15万元。9月份完成垃圾中转站渗滤液清运服务政府采购招标工作，招标服务金额为92.8万元（两年）。垃圾中转站环保督查问题销号工作已于今年上半年完成。12月份，根据市委督查室下发的《关于湘江两岸“建宁驿站”（公厕）相关建议》，经报上级部门同意，将彩虹桥驿站改造为环卫工人之家，将绿地公厕下水接入石峰区自然资源局院落内的市政污水管网。</w:t>
      </w:r>
      <w:r>
        <w:rPr>
          <w:rFonts w:hint="eastAsia" w:ascii="仿宋" w:hAnsi="仿宋" w:eastAsia="仿宋" w:cs="仿宋"/>
          <w:b/>
          <w:color w:val="auto"/>
          <w:sz w:val="32"/>
          <w:szCs w:val="32"/>
        </w:rPr>
        <w:t>七是对市场化公司履约情况开展集中督查。</w:t>
      </w:r>
      <w:r>
        <w:rPr>
          <w:rFonts w:hint="eastAsia" w:ascii="仿宋" w:hAnsi="仿宋" w:eastAsia="仿宋" w:cs="仿宋"/>
          <w:color w:val="auto"/>
          <w:sz w:val="32"/>
          <w:szCs w:val="32"/>
        </w:rPr>
        <w:t>配合区城管局、区财政局、区审计局、各街道办事处，对奇岭、玉禾田、蓝天、新中城等9家环卫市场化中标公司的履约情况开展专项检查。检查内容包括人员配置、车辆出勤与日常巡查记录、员工工资、福利发放、安全生产会议记录、人员在岗、设备配备合同履约等情况。以进一步规范和完善环卫市场化监管机制。</w:t>
      </w:r>
      <w:r>
        <w:rPr>
          <w:rFonts w:hint="eastAsia" w:ascii="仿宋" w:hAnsi="仿宋" w:eastAsia="仿宋" w:cs="仿宋"/>
          <w:b/>
          <w:color w:val="auto"/>
          <w:sz w:val="32"/>
          <w:szCs w:val="32"/>
        </w:rPr>
        <w:t>八是开展扫雪除冰工作。</w:t>
      </w:r>
      <w:r>
        <w:rPr>
          <w:rFonts w:hint="eastAsia" w:ascii="仿宋" w:hAnsi="仿宋" w:eastAsia="仿宋" w:cs="仿宋"/>
          <w:color w:val="auto"/>
          <w:sz w:val="32"/>
          <w:szCs w:val="32"/>
        </w:rPr>
        <w:t>低温天气，我中心及时启动预防和应急处置冰雪灾害预案，带领各公司成立应急队，对桥梁、人行天桥等开展扫雪除冰，确保了日常环卫作业和扫雪除冰工作有序进行。</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7、疫情防控工作开展有力有序。</w:t>
      </w:r>
      <w:r>
        <w:rPr>
          <w:rFonts w:hint="eastAsia" w:ascii="仿宋" w:hAnsi="仿宋" w:eastAsia="仿宋" w:cs="仿宋"/>
          <w:color w:val="auto"/>
          <w:sz w:val="32"/>
          <w:szCs w:val="32"/>
        </w:rPr>
        <w:t>一是做好疫情防控各类防疫物资的保障工作。期间累计发放口罩56480个，手套530付，防护服615套，84消毒液2200斤，洁手液108瓶。二是对辖区各保洁公司落实好环卫工人各类防护措施的情况进行督查指导，包括督促环卫工人工作时穿好工作服（或防护服），佩戴好戴口罩、手套，开展体温测量情况，防护物资的筹备等，对相关台帐进行抽查。三是对辖区环卫设施消杀情况进行督查指导，包括各类垃圾收集、清运车辆、垃圾收集容器、垃圾中转站、公厕的消杀工作，及废弃口罩收集处理的日常管理等情况，并对相关台账进行检查。四是加强对辖区范围内隔离点、核酸检测点周边的环境卫生以及居家隔离人员生活垃圾的消杀、收集、运输等方面的督查。确保了全区1300余名环卫人员零感染。</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8、安全生产夯实基础常抓不懈。</w:t>
      </w:r>
      <w:r>
        <w:rPr>
          <w:rFonts w:hint="eastAsia" w:ascii="仿宋" w:hAnsi="仿宋" w:eastAsia="仿宋" w:cs="仿宋"/>
          <w:color w:val="auto"/>
          <w:sz w:val="32"/>
          <w:szCs w:val="32"/>
        </w:rPr>
        <w:t xml:space="preserve">一是督促辖区各市场化公司有计划的组织安排好每月管理人员业务学习培训、每季度班组长作业技能培训、环卫工人上岗前培训和每月的驾驶员安全生产例会。要求业务技能与安全生产相结合，进一步强化环卫工人的安全作业意识。二是定期组织开展日常安全生产检查，坚持每季度对环卫设施设备，特别是对各公司停车场、垃圾中转站和建宁驿站等进行抽查，对存在的安全问题及时反馈并抓好整改落实。今年累计开展各类安全检查8次，发布检查通报6份，下发整改通知6份，发现安全隐患43处，已督促相关公司限时整改，及时消除安全隐患。 </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 w:hAnsi="仿宋" w:eastAsia="仿宋" w:cs="仿宋"/>
          <w:color w:val="auto"/>
          <w:spacing w:val="8"/>
          <w:sz w:val="32"/>
          <w:szCs w:val="32"/>
          <w:shd w:val="clear" w:color="auto" w:fill="FFFFFF"/>
        </w:rPr>
      </w:pPr>
      <w:r>
        <w:rPr>
          <w:rFonts w:hint="eastAsia" w:ascii="楷体" w:hAnsi="楷体" w:eastAsia="楷体" w:cs="楷体"/>
          <w:b/>
          <w:bCs/>
          <w:color w:val="auto"/>
          <w:sz w:val="32"/>
          <w:szCs w:val="32"/>
          <w:lang w:val="en-US" w:eastAsia="zh-CN"/>
        </w:rPr>
        <w:t>9、后勤综合服务保障有条不紊。</w:t>
      </w:r>
      <w:r>
        <w:rPr>
          <w:rFonts w:hint="eastAsia" w:ascii="仿宋" w:hAnsi="仿宋" w:eastAsia="仿宋" w:cs="仿宋"/>
          <w:color w:val="auto"/>
          <w:sz w:val="32"/>
          <w:szCs w:val="32"/>
        </w:rPr>
        <w:t>全力做好文书起草、收发，信息宣传，信访投诉处理，工会，人事劳资，财务管理等工作。全年，共起草各类文书47份（其中报告18份，总结、计划、方案19份、其它材料10份），撰写单位年鉴一份；办理人大建议2份；办理收文201份、合同54份；报送各类宣传信息50条，接待市民电话来访、职工咨询541余次；共登</w:t>
      </w:r>
      <w:r>
        <w:rPr>
          <w:rFonts w:hint="eastAsia" w:ascii="仿宋" w:hAnsi="仿宋" w:eastAsia="仿宋" w:cs="仿宋"/>
          <w:color w:val="auto"/>
          <w:spacing w:val="8"/>
          <w:sz w:val="32"/>
          <w:szCs w:val="32"/>
          <w:shd w:val="clear" w:color="auto" w:fill="FFFFFF"/>
        </w:rPr>
        <w:t>记处理12345市长热线投诉338起，完成率达百分之百；办理在职职工退休手续11人；积极开展“夏送清凉、冬送温暖”等帮扶慰问活动，为54名困难环卫工人申报困难救助、金秋助学；组织芦淞区1200多名环卫员工开展专场免费健康体检；组织开展多样化的文体活动，丰富职工文化生活，如在建党100周年之际，组织职工参加芦淞区城管局党委、局联合工会举办的文艺汇演，由女职工表演的旗袍秀节目参加了湖南省体育局首届运动会，获得株洲赛区特等奖和最佳人气奖。</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（二）专项资金支出绩效情况</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r>
        <w:rPr>
          <w:rFonts w:hint="eastAsia" w:ascii="仿宋" w:hAnsi="仿宋" w:eastAsia="仿宋" w:cs="仿宋"/>
          <w:color w:val="auto"/>
          <w:spacing w:val="8"/>
          <w:sz w:val="32"/>
          <w:szCs w:val="32"/>
          <w:shd w:val="clear" w:color="auto" w:fill="FFFFFF"/>
          <w:lang w:val="en-US" w:eastAsia="zh-CN"/>
        </w:rPr>
        <w:t>2020年本中心专项分为5个大项，资金总额4695.12万元。</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r>
        <w:rPr>
          <w:rFonts w:hint="eastAsia" w:ascii="仿宋" w:hAnsi="仿宋" w:eastAsia="仿宋" w:cs="仿宋"/>
          <w:color w:val="auto"/>
          <w:spacing w:val="8"/>
          <w:sz w:val="32"/>
          <w:szCs w:val="32"/>
          <w:shd w:val="clear" w:color="auto" w:fill="FFFFFF"/>
          <w:lang w:val="en-US" w:eastAsia="zh-CN"/>
        </w:rPr>
        <w:t>1、环卫市场化项目支出4095.59万元。其中：一是垃圾清运市场化670.31万元。立项依据是通过政府采购与湖南蓝天物业管理有限公司签订芦淞区垃圾站及垃圾清运市场化服务项目合同，项目绩效情况：加强城区各办事处所辖行政区域及白关镇的生活垃圾清运及垃圾站点清扫保洁及维护管理。2021年，全年清运城区、乡镇生活垃圾约达1.89万车，约12万吨，日产日清，垃圾清运率达100％。二是环卫市场化经费3425.28万元，项目绩效情况：严格按照市、区城市管理考评工作要求，有效开展道路清扫保洁、垃圾清运、公厕保洁等管理工作。根据《株洲市芦淞区环境卫生管理考评办法》及《株洲市芦淞区环境卫生考评细则及标准》进行检查考评，对辖区公司下达道路检查通报617期、业务督办84期、督查通报143期。全年，芦淞区环卫专业成绩在全市城市管理考核评比中综合排名在前列。</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r>
        <w:rPr>
          <w:rFonts w:hint="eastAsia" w:ascii="仿宋" w:hAnsi="仿宋" w:eastAsia="仿宋" w:cs="仿宋"/>
          <w:color w:val="auto"/>
          <w:spacing w:val="8"/>
          <w:sz w:val="32"/>
          <w:szCs w:val="32"/>
          <w:shd w:val="clear" w:color="auto" w:fill="FFFFFF"/>
          <w:lang w:val="en-US" w:eastAsia="zh-CN"/>
        </w:rPr>
        <w:t>2、建宁驿站运维金额304.77万元，项目绩效情况：围绕建宁驿站“干净整洁、设施完好、功能完备、管理规范、服务一流”的目标要求，做好驿站保洁人员的管理、消耗用品的配送、设施设备维修等日常维护管理工作。全区建宁驿站共37座，实行专人专责进行日常管理。全年，组织驿站管理人员进行集中业务培训7次，维修驿站约660余座次，疏通下水530余次、添置卫生纸14400余卷、洗手液390袋、马桶垫1510卷、垃圾袋5050余卷、更换灯泡80个、水龙头37个。同时也引起了各领导的关注和各界考察团来建宁驿站参观交流。自2021年共接待各级领导视察20余次，得到各级领导的一致肯定。</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r>
        <w:rPr>
          <w:rFonts w:hint="eastAsia" w:ascii="仿宋" w:hAnsi="仿宋" w:eastAsia="仿宋" w:cs="仿宋"/>
          <w:color w:val="auto"/>
          <w:spacing w:val="8"/>
          <w:sz w:val="32"/>
          <w:szCs w:val="32"/>
          <w:shd w:val="clear" w:color="auto" w:fill="FFFFFF"/>
          <w:lang w:val="en-US" w:eastAsia="zh-CN"/>
        </w:rPr>
        <w:t>3、公厕、垃圾站运营维护、改造项目158.68万元，项目绩效情况：垃圾中转站是重要的基础设施，是城乡公共环境卫生体系的重要组成部分，垃圾中转站的运行关系到村镇生态环境，关系到人民群众的切身利益。垃圾中转站的改造不仅美化了环境,还杜绝了二次污染,减少了蚊虫的滋生,提高了垃圾处理效率。公厕改造完成后，提高了公厕管理水平，设施方便、清洁、节能、美观，为广大市民提供便捷舒适的如厕环境。</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r>
        <w:rPr>
          <w:rFonts w:hint="eastAsia" w:ascii="仿宋" w:hAnsi="仿宋" w:eastAsia="仿宋" w:cs="仿宋"/>
          <w:color w:val="auto"/>
          <w:spacing w:val="8"/>
          <w:sz w:val="32"/>
          <w:szCs w:val="32"/>
          <w:shd w:val="clear" w:color="auto" w:fill="FFFFFF"/>
          <w:lang w:val="en-US" w:eastAsia="zh-CN"/>
        </w:rPr>
        <w:t>4、环卫市政用水项目50万元，项目绩效情况：保障园林市政用水及环卫道路洒水用水需求，提升道路冲洗作业质量；</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r>
        <w:rPr>
          <w:rFonts w:hint="eastAsia" w:ascii="仿宋" w:hAnsi="仿宋" w:eastAsia="仿宋" w:cs="仿宋"/>
          <w:color w:val="auto"/>
          <w:spacing w:val="8"/>
          <w:sz w:val="32"/>
          <w:szCs w:val="32"/>
          <w:shd w:val="clear" w:color="auto" w:fill="FFFFFF"/>
          <w:lang w:val="en-US" w:eastAsia="zh-CN"/>
        </w:rPr>
        <w:t>5、大气污染防治项目86.08万元，项目绩效情况：按照环保部门的工作要求，加强对重点路段及周边的洒水及雾炮降尘作业，保证路面湿润度，做好大气污染防治工作。对重点路段及周边的洒水降尘及雾炮车作业，每天（未下雨的情况下）安排专人、专车，严格按照作业路线和标准要求在芦淞区主次干道进行循环洒水降尘作业。为打赢“蓝天保卫战”提供强有力的保障。</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5" w:firstLineChars="200"/>
        <w:jc w:val="both"/>
        <w:textAlignment w:val="baseline"/>
        <w:rPr>
          <w:rFonts w:hint="eastAsia" w:ascii="黑体" w:hAnsi="黑体" w:eastAsia="黑体" w:cs="黑体"/>
          <w:b/>
          <w:bCs/>
          <w:color w:val="auto"/>
          <w:spacing w:val="8"/>
          <w:sz w:val="32"/>
          <w:szCs w:val="32"/>
          <w:shd w:val="clear" w:color="auto" w:fill="FFFFFF"/>
          <w:lang w:val="en-US" w:eastAsia="zh-CN"/>
        </w:rPr>
      </w:pPr>
      <w:r>
        <w:rPr>
          <w:rFonts w:hint="eastAsia" w:ascii="黑体" w:hAnsi="黑体" w:eastAsia="黑体" w:cs="黑体"/>
          <w:b/>
          <w:bCs/>
          <w:color w:val="auto"/>
          <w:spacing w:val="8"/>
          <w:sz w:val="32"/>
          <w:szCs w:val="32"/>
          <w:shd w:val="clear" w:color="auto" w:fill="FFFFFF"/>
          <w:lang w:val="en-US" w:eastAsia="zh-CN"/>
        </w:rPr>
        <w:t>七、存在的问题及原因分析</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r>
        <w:rPr>
          <w:rFonts w:hint="eastAsia" w:ascii="仿宋" w:hAnsi="仿宋" w:eastAsia="仿宋" w:cs="仿宋"/>
          <w:color w:val="auto"/>
          <w:spacing w:val="8"/>
          <w:sz w:val="32"/>
          <w:szCs w:val="32"/>
          <w:shd w:val="clear" w:color="auto" w:fill="FFFFFF"/>
          <w:lang w:val="en-US" w:eastAsia="zh-CN"/>
        </w:rPr>
        <w:t>无</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5" w:firstLineChars="200"/>
        <w:jc w:val="both"/>
        <w:textAlignment w:val="baseline"/>
        <w:rPr>
          <w:rFonts w:hint="eastAsia" w:ascii="黑体" w:hAnsi="黑体" w:eastAsia="黑体" w:cs="黑体"/>
          <w:b/>
          <w:bCs/>
          <w:color w:val="auto"/>
          <w:spacing w:val="8"/>
          <w:sz w:val="32"/>
          <w:szCs w:val="32"/>
          <w:shd w:val="clear" w:color="auto" w:fill="FFFFFF"/>
          <w:lang w:val="en-US" w:eastAsia="zh-CN"/>
        </w:rPr>
      </w:pPr>
      <w:r>
        <w:rPr>
          <w:rFonts w:hint="eastAsia" w:ascii="黑体" w:hAnsi="黑体" w:eastAsia="黑体" w:cs="黑体"/>
          <w:b/>
          <w:bCs/>
          <w:color w:val="auto"/>
          <w:spacing w:val="8"/>
          <w:sz w:val="32"/>
          <w:szCs w:val="32"/>
          <w:shd w:val="clear" w:color="auto" w:fill="FFFFFF"/>
          <w:lang w:val="en-US" w:eastAsia="zh-CN"/>
        </w:rPr>
        <w:t>八、下一步改进措施</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r>
        <w:rPr>
          <w:rFonts w:hint="eastAsia" w:ascii="仿宋" w:hAnsi="仿宋" w:eastAsia="仿宋" w:cs="仿宋"/>
          <w:color w:val="auto"/>
          <w:spacing w:val="8"/>
          <w:sz w:val="32"/>
          <w:szCs w:val="32"/>
          <w:shd w:val="clear" w:color="auto" w:fill="FFFFFF"/>
          <w:lang w:val="en-US" w:eastAsia="zh-CN"/>
        </w:rPr>
        <w:t>不断加强资金支出管理，积极推进预算绩效管理工作，着力完善“预算编制有目标、预算执行有监控、预算完成有评价”的预算绩效管理机制，不断提高资金使用效益。</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5" w:firstLineChars="200"/>
        <w:jc w:val="both"/>
        <w:textAlignment w:val="baseline"/>
        <w:rPr>
          <w:rFonts w:hint="eastAsia" w:ascii="黑体" w:hAnsi="黑体" w:eastAsia="黑体" w:cs="黑体"/>
          <w:b/>
          <w:bCs/>
          <w:color w:val="auto"/>
          <w:spacing w:val="8"/>
          <w:sz w:val="32"/>
          <w:szCs w:val="32"/>
          <w:shd w:val="clear" w:color="auto" w:fill="FFFFFF"/>
          <w:lang w:val="en-US" w:eastAsia="zh-CN"/>
        </w:rPr>
      </w:pPr>
      <w:r>
        <w:rPr>
          <w:rFonts w:hint="eastAsia" w:ascii="黑体" w:hAnsi="黑体" w:eastAsia="黑体" w:cs="黑体"/>
          <w:b/>
          <w:bCs/>
          <w:color w:val="auto"/>
          <w:spacing w:val="8"/>
          <w:sz w:val="32"/>
          <w:szCs w:val="32"/>
          <w:shd w:val="clear" w:color="auto" w:fill="FFFFFF"/>
          <w:lang w:val="en-US" w:eastAsia="zh-CN"/>
        </w:rPr>
        <w:t>九、绩效自评结果拟应用和公开情况</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r>
        <w:rPr>
          <w:rFonts w:hint="eastAsia" w:ascii="仿宋" w:hAnsi="仿宋" w:eastAsia="仿宋" w:cs="仿宋"/>
          <w:color w:val="auto"/>
          <w:spacing w:val="8"/>
          <w:sz w:val="32"/>
          <w:szCs w:val="32"/>
          <w:shd w:val="clear" w:color="auto" w:fill="FFFFFF"/>
          <w:lang w:val="en-US" w:eastAsia="zh-CN"/>
        </w:rPr>
        <w:t>绩效自评报告在芦淞区政府门户网站与决算报告一起公开。</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5" w:firstLineChars="200"/>
        <w:jc w:val="both"/>
        <w:textAlignment w:val="baseline"/>
        <w:rPr>
          <w:rFonts w:hint="eastAsia" w:ascii="黑体" w:hAnsi="黑体" w:eastAsia="黑体" w:cs="黑体"/>
          <w:b/>
          <w:bCs/>
          <w:color w:val="auto"/>
          <w:spacing w:val="8"/>
          <w:sz w:val="32"/>
          <w:szCs w:val="32"/>
          <w:shd w:val="clear" w:color="auto" w:fill="FFFFFF"/>
          <w:lang w:val="en-US" w:eastAsia="zh-CN"/>
        </w:rPr>
      </w:pPr>
      <w:r>
        <w:rPr>
          <w:rFonts w:hint="eastAsia" w:ascii="黑体" w:hAnsi="黑体" w:eastAsia="黑体" w:cs="黑体"/>
          <w:b/>
          <w:bCs/>
          <w:color w:val="auto"/>
          <w:spacing w:val="8"/>
          <w:sz w:val="32"/>
          <w:szCs w:val="32"/>
          <w:shd w:val="clear" w:color="auto" w:fill="FFFFFF"/>
          <w:lang w:val="en-US" w:eastAsia="zh-CN"/>
        </w:rPr>
        <w:t>十、其他需要说明的情况</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r>
        <w:rPr>
          <w:rFonts w:hint="eastAsia" w:ascii="仿宋" w:hAnsi="仿宋" w:eastAsia="仿宋" w:cs="仿宋"/>
          <w:color w:val="auto"/>
          <w:spacing w:val="8"/>
          <w:sz w:val="32"/>
          <w:szCs w:val="32"/>
          <w:shd w:val="clear" w:color="auto" w:fill="FFFFFF"/>
          <w:lang w:val="en-US" w:eastAsia="zh-CN"/>
        </w:rPr>
        <w:t>无</w:t>
      </w:r>
    </w:p>
    <w:p>
      <w:pPr>
        <w:keepNext w:val="0"/>
        <w:keepLines w:val="0"/>
        <w:pageBreakBefore w:val="0"/>
        <w:widowControl/>
        <w:pBdr>
          <w:bottom w:val="single" w:color="FFFFFF" w:sz="4" w:space="31"/>
        </w:pBdr>
        <w:tabs>
          <w:tab w:val="left" w:pos="1440"/>
        </w:tabs>
        <w:kinsoku w:val="0"/>
        <w:wordWrap/>
        <w:overflowPunct/>
        <w:topLinePunct w:val="0"/>
        <w:autoSpaceDE w:val="0"/>
        <w:autoSpaceDN w:val="0"/>
        <w:bidi w:val="0"/>
        <w:adjustRightInd w:val="0"/>
        <w:snapToGrid w:val="0"/>
        <w:spacing w:line="560" w:lineRule="exact"/>
        <w:ind w:left="0" w:firstLine="672" w:firstLineChars="200"/>
        <w:jc w:val="both"/>
        <w:textAlignment w:val="baseline"/>
        <w:rPr>
          <w:rFonts w:hint="eastAsia" w:ascii="仿宋" w:hAnsi="仿宋" w:eastAsia="仿宋" w:cs="仿宋"/>
          <w:color w:val="auto"/>
          <w:spacing w:val="8"/>
          <w:sz w:val="32"/>
          <w:szCs w:val="32"/>
          <w:shd w:val="clear" w:color="auto" w:fill="FFFFFF"/>
          <w:lang w:val="en-US" w:eastAsia="zh-C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9C7C3"/>
    <w:multiLevelType w:val="singleLevel"/>
    <w:tmpl w:val="A4C9C7C3"/>
    <w:lvl w:ilvl="0" w:tentative="0">
      <w:start w:val="4"/>
      <w:numFmt w:val="chineseCounting"/>
      <w:suff w:val="nothing"/>
      <w:lvlText w:val="%1、"/>
      <w:lvlJc w:val="left"/>
      <w:rPr>
        <w:rFonts w:hint="eastAsia"/>
      </w:rPr>
    </w:lvl>
  </w:abstractNum>
  <w:abstractNum w:abstractNumId="1">
    <w:nsid w:val="45C3DF13"/>
    <w:multiLevelType w:val="singleLevel"/>
    <w:tmpl w:val="45C3DF13"/>
    <w:lvl w:ilvl="0" w:tentative="0">
      <w:start w:val="2"/>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abstractNum w:abstractNumId="3">
    <w:nsid w:val="66006C76"/>
    <w:multiLevelType w:val="singleLevel"/>
    <w:tmpl w:val="66006C76"/>
    <w:lvl w:ilvl="0" w:tentative="0">
      <w:start w:val="1"/>
      <w:numFmt w:val="decimal"/>
      <w:suff w:val="nothing"/>
      <w:lvlText w:val="%1、"/>
      <w:lvlJc w:val="left"/>
      <w:pPr>
        <w:ind w:left="-1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A56C8A"/>
    <w:rsid w:val="00D5092F"/>
    <w:rsid w:val="00E55161"/>
    <w:rsid w:val="015876FF"/>
    <w:rsid w:val="016976BE"/>
    <w:rsid w:val="01A6665B"/>
    <w:rsid w:val="01EF5276"/>
    <w:rsid w:val="02495AE3"/>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9E80137"/>
    <w:rsid w:val="1A4E2E8E"/>
    <w:rsid w:val="1AF51455"/>
    <w:rsid w:val="1B9D302A"/>
    <w:rsid w:val="1BF446CE"/>
    <w:rsid w:val="1C704031"/>
    <w:rsid w:val="1D271A66"/>
    <w:rsid w:val="1DCB47DF"/>
    <w:rsid w:val="1E562965"/>
    <w:rsid w:val="1E601115"/>
    <w:rsid w:val="1EB03217"/>
    <w:rsid w:val="1F000FB0"/>
    <w:rsid w:val="1F111AD7"/>
    <w:rsid w:val="1F5A1E7F"/>
    <w:rsid w:val="1FA707DF"/>
    <w:rsid w:val="1FFE7B8C"/>
    <w:rsid w:val="202E3FAC"/>
    <w:rsid w:val="203C025A"/>
    <w:rsid w:val="20775CA3"/>
    <w:rsid w:val="217A1AB1"/>
    <w:rsid w:val="22695B47"/>
    <w:rsid w:val="243235AA"/>
    <w:rsid w:val="24637B8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2F6D2F"/>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0FF79E9"/>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88F576B"/>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5872"/>
    <w:rsid w:val="57837BDE"/>
    <w:rsid w:val="57935E95"/>
    <w:rsid w:val="58152013"/>
    <w:rsid w:val="58CE683B"/>
    <w:rsid w:val="59A40B9B"/>
    <w:rsid w:val="5A3C1A0D"/>
    <w:rsid w:val="5A6A2A29"/>
    <w:rsid w:val="5A9244F7"/>
    <w:rsid w:val="5AF97A89"/>
    <w:rsid w:val="5B352171"/>
    <w:rsid w:val="5B440F95"/>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198578C"/>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200" w:firstLineChars="200"/>
    </w:pPr>
    <w:rPr>
      <w:rFonts w:ascii="方正仿宋_GBK" w:eastAsia="方正仿宋_GBK"/>
      <w:sz w:val="30"/>
    </w:rPr>
  </w:style>
  <w:style w:type="paragraph" w:styleId="3">
    <w:name w:val="Body Text First Indent 2"/>
    <w:basedOn w:val="2"/>
    <w:qFormat/>
    <w:uiPriority w:val="0"/>
    <w:pPr>
      <w:ind w:firstLine="420"/>
    </w:pPr>
    <w:rPr>
      <w:rFonts w:cs="仿宋_GB2312"/>
      <w:szCs w:val="32"/>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6114</Words>
  <Characters>6428</Characters>
  <Lines>0</Lines>
  <Paragraphs>0</Paragraphs>
  <TotalTime>9</TotalTime>
  <ScaleCrop>false</ScaleCrop>
  <LinksUpToDate>false</LinksUpToDate>
  <CharactersWithSpaces>6429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