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bidi w:val="0"/>
        <w:spacing w:line="580" w:lineRule="exact"/>
        <w:ind w:left="0" w:firstLine="880" w:firstLineChars="200"/>
        <w:jc w:val="center"/>
        <w:textAlignment w:val="auto"/>
        <w:rPr>
          <w:rFonts w:hint="default" w:ascii="Times New Roman" w:hAnsi="Times New Roman" w:eastAsia="方正小标宋_GBK" w:cs="Times New Roman"/>
          <w:sz w:val="44"/>
          <w:szCs w:val="44"/>
        </w:rPr>
      </w:pPr>
    </w:p>
    <w:p>
      <w:pPr>
        <w:keepNext w:val="0"/>
        <w:keepLines w:val="0"/>
        <w:pageBreakBefore w:val="0"/>
        <w:widowControl w:val="0"/>
        <w:kinsoku/>
        <w:wordWrap/>
        <w:overflowPunct/>
        <w:topLinePunct w:val="0"/>
        <w:bidi w:val="0"/>
        <w:spacing w:line="580" w:lineRule="exact"/>
        <w:ind w:left="0" w:firstLine="880" w:firstLineChars="200"/>
        <w:jc w:val="center"/>
        <w:textAlignment w:val="auto"/>
        <w:rPr>
          <w:rFonts w:hint="default" w:ascii="Times New Roman" w:hAnsi="Times New Roman" w:eastAsia="方正小标宋_GBK" w:cs="Times New Roman"/>
          <w:sz w:val="44"/>
          <w:szCs w:val="44"/>
        </w:rPr>
      </w:pPr>
    </w:p>
    <w:p>
      <w:pPr>
        <w:keepNext w:val="0"/>
        <w:keepLines w:val="0"/>
        <w:pageBreakBefore w:val="0"/>
        <w:widowControl w:val="0"/>
        <w:kinsoku/>
        <w:wordWrap/>
        <w:overflowPunct/>
        <w:topLinePunct w:val="0"/>
        <w:bidi w:val="0"/>
        <w:spacing w:line="580" w:lineRule="exact"/>
        <w:ind w:left="0" w:firstLine="880" w:firstLineChars="200"/>
        <w:jc w:val="center"/>
        <w:textAlignment w:val="auto"/>
        <w:rPr>
          <w:rFonts w:hint="default" w:ascii="Times New Roman" w:hAnsi="Times New Roman" w:eastAsia="方正小标宋_GBK" w:cs="Times New Roman"/>
          <w:sz w:val="44"/>
          <w:szCs w:val="44"/>
        </w:rPr>
      </w:pPr>
    </w:p>
    <w:p>
      <w:pPr>
        <w:keepNext w:val="0"/>
        <w:keepLines w:val="0"/>
        <w:pageBreakBefore w:val="0"/>
        <w:widowControl w:val="0"/>
        <w:kinsoku/>
        <w:wordWrap/>
        <w:overflowPunct/>
        <w:topLinePunct w:val="0"/>
        <w:bidi w:val="0"/>
        <w:spacing w:line="580" w:lineRule="exact"/>
        <w:ind w:left="0" w:firstLine="880" w:firstLineChars="200"/>
        <w:jc w:val="center"/>
        <w:textAlignment w:val="auto"/>
        <w:rPr>
          <w:rFonts w:hint="default" w:ascii="Times New Roman" w:hAnsi="Times New Roman" w:eastAsia="方正小标宋_GBK" w:cs="Times New Roman"/>
          <w:sz w:val="44"/>
          <w:szCs w:val="44"/>
        </w:rPr>
      </w:pPr>
    </w:p>
    <w:p>
      <w:pPr>
        <w:keepNext w:val="0"/>
        <w:keepLines w:val="0"/>
        <w:pageBreakBefore w:val="0"/>
        <w:widowControl w:val="0"/>
        <w:kinsoku/>
        <w:wordWrap/>
        <w:overflowPunct/>
        <w:topLinePunct w:val="0"/>
        <w:bidi w:val="0"/>
        <w:spacing w:line="580" w:lineRule="exact"/>
        <w:ind w:left="0" w:firstLine="880" w:firstLineChars="200"/>
        <w:jc w:val="center"/>
        <w:textAlignment w:val="auto"/>
        <w:rPr>
          <w:rFonts w:hint="default" w:ascii="Times New Roman" w:hAnsi="Times New Roman" w:eastAsia="方正小标宋_GBK" w:cs="Times New Roman"/>
          <w:sz w:val="44"/>
          <w:szCs w:val="44"/>
        </w:rPr>
      </w:pPr>
      <w:r>
        <w:rPr>
          <w:rFonts w:hint="default" w:ascii="Times New Roman" w:hAnsi="Times New Roman" w:eastAsia="方正小标宋_GBK" w:cs="Times New Roman"/>
          <w:sz w:val="44"/>
          <w:szCs w:val="44"/>
        </w:rPr>
        <w:t>2021年度株洲市芦淞区发展和改革局</w:t>
      </w:r>
    </w:p>
    <w:p>
      <w:pPr>
        <w:keepNext w:val="0"/>
        <w:keepLines w:val="0"/>
        <w:pageBreakBefore w:val="0"/>
        <w:widowControl w:val="0"/>
        <w:kinsoku/>
        <w:wordWrap/>
        <w:overflowPunct/>
        <w:topLinePunct w:val="0"/>
        <w:bidi w:val="0"/>
        <w:spacing w:line="580" w:lineRule="exact"/>
        <w:ind w:left="0" w:firstLine="880" w:firstLineChars="200"/>
        <w:jc w:val="center"/>
        <w:textAlignment w:val="auto"/>
        <w:rPr>
          <w:rFonts w:hint="default" w:ascii="Times New Roman" w:hAnsi="Times New Roman" w:eastAsia="方正小标宋_GBK" w:cs="Times New Roman"/>
          <w:sz w:val="44"/>
          <w:szCs w:val="44"/>
        </w:rPr>
      </w:pPr>
      <w:r>
        <w:rPr>
          <w:rFonts w:hint="default" w:ascii="Times New Roman" w:hAnsi="Times New Roman" w:eastAsia="方正小标宋_GBK" w:cs="Times New Roman"/>
          <w:sz w:val="44"/>
          <w:szCs w:val="44"/>
        </w:rPr>
        <w:t>整体支出绩效自评报告</w:t>
      </w:r>
    </w:p>
    <w:p>
      <w:pPr>
        <w:keepNext w:val="0"/>
        <w:keepLines w:val="0"/>
        <w:pageBreakBefore w:val="0"/>
        <w:widowControl w:val="0"/>
        <w:kinsoku/>
        <w:wordWrap/>
        <w:overflowPunct/>
        <w:topLinePunct w:val="0"/>
        <w:bidi w:val="0"/>
        <w:spacing w:line="580" w:lineRule="exact"/>
        <w:ind w:left="0" w:firstLine="640" w:firstLineChars="200"/>
        <w:jc w:val="center"/>
        <w:textAlignment w:val="auto"/>
        <w:rPr>
          <w:rFonts w:hint="default" w:ascii="Times New Roman" w:hAnsi="Times New Roman" w:eastAsia="楷体_GB2312" w:cs="Times New Roman"/>
          <w:sz w:val="32"/>
          <w:szCs w:val="32"/>
        </w:rPr>
      </w:pPr>
    </w:p>
    <w:p>
      <w:pPr>
        <w:keepNext w:val="0"/>
        <w:keepLines w:val="0"/>
        <w:pageBreakBefore w:val="0"/>
        <w:widowControl w:val="0"/>
        <w:kinsoku/>
        <w:wordWrap/>
        <w:overflowPunct/>
        <w:topLinePunct w:val="0"/>
        <w:bidi w:val="0"/>
        <w:spacing w:line="580" w:lineRule="exact"/>
        <w:ind w:left="0" w:firstLine="640" w:firstLineChars="200"/>
        <w:jc w:val="center"/>
        <w:textAlignment w:val="auto"/>
        <w:rPr>
          <w:rFonts w:hint="default" w:ascii="Times New Roman" w:hAnsi="Times New Roman" w:eastAsia="黑体" w:cs="Times New Roman"/>
          <w:sz w:val="32"/>
          <w:szCs w:val="32"/>
        </w:rPr>
      </w:pPr>
    </w:p>
    <w:p>
      <w:pPr>
        <w:keepNext w:val="0"/>
        <w:keepLines w:val="0"/>
        <w:pageBreakBefore w:val="0"/>
        <w:widowControl w:val="0"/>
        <w:kinsoku/>
        <w:wordWrap/>
        <w:overflowPunct/>
        <w:topLinePunct w:val="0"/>
        <w:bidi w:val="0"/>
        <w:spacing w:line="580" w:lineRule="exact"/>
        <w:ind w:left="0" w:firstLine="640" w:firstLineChars="200"/>
        <w:jc w:val="center"/>
        <w:textAlignment w:val="auto"/>
        <w:rPr>
          <w:rFonts w:hint="default" w:ascii="Times New Roman" w:hAnsi="Times New Roman" w:eastAsia="黑体" w:cs="Times New Roman"/>
          <w:sz w:val="32"/>
          <w:szCs w:val="32"/>
        </w:rPr>
      </w:pPr>
    </w:p>
    <w:p>
      <w:pPr>
        <w:keepNext w:val="0"/>
        <w:keepLines w:val="0"/>
        <w:pageBreakBefore w:val="0"/>
        <w:widowControl w:val="0"/>
        <w:kinsoku/>
        <w:wordWrap/>
        <w:overflowPunct/>
        <w:topLinePunct w:val="0"/>
        <w:bidi w:val="0"/>
        <w:spacing w:line="580" w:lineRule="exact"/>
        <w:ind w:left="0" w:firstLine="640" w:firstLineChars="200"/>
        <w:jc w:val="center"/>
        <w:textAlignment w:val="auto"/>
        <w:rPr>
          <w:rFonts w:hint="default" w:ascii="Times New Roman" w:hAnsi="Times New Roman" w:eastAsia="黑体" w:cs="Times New Roman"/>
          <w:sz w:val="32"/>
          <w:szCs w:val="32"/>
        </w:rPr>
      </w:pPr>
    </w:p>
    <w:p>
      <w:pPr>
        <w:keepNext w:val="0"/>
        <w:keepLines w:val="0"/>
        <w:pageBreakBefore w:val="0"/>
        <w:widowControl w:val="0"/>
        <w:kinsoku/>
        <w:wordWrap/>
        <w:overflowPunct/>
        <w:topLinePunct w:val="0"/>
        <w:bidi w:val="0"/>
        <w:spacing w:line="580" w:lineRule="exact"/>
        <w:ind w:left="0" w:firstLine="640" w:firstLineChars="200"/>
        <w:jc w:val="center"/>
        <w:textAlignment w:val="auto"/>
        <w:rPr>
          <w:rFonts w:hint="default" w:ascii="Times New Roman" w:hAnsi="Times New Roman" w:eastAsia="黑体" w:cs="Times New Roman"/>
          <w:sz w:val="32"/>
          <w:szCs w:val="32"/>
        </w:rPr>
      </w:pPr>
    </w:p>
    <w:p>
      <w:pPr>
        <w:keepNext w:val="0"/>
        <w:keepLines w:val="0"/>
        <w:pageBreakBefore w:val="0"/>
        <w:widowControl w:val="0"/>
        <w:kinsoku/>
        <w:wordWrap/>
        <w:overflowPunct/>
        <w:topLinePunct w:val="0"/>
        <w:bidi w:val="0"/>
        <w:spacing w:line="580" w:lineRule="exact"/>
        <w:ind w:left="0" w:firstLine="640" w:firstLineChars="200"/>
        <w:jc w:val="center"/>
        <w:textAlignment w:val="auto"/>
        <w:rPr>
          <w:rFonts w:hint="default" w:ascii="Times New Roman" w:hAnsi="Times New Roman" w:eastAsia="黑体" w:cs="Times New Roman"/>
          <w:sz w:val="32"/>
          <w:szCs w:val="32"/>
        </w:rPr>
      </w:pPr>
    </w:p>
    <w:p>
      <w:pPr>
        <w:keepNext w:val="0"/>
        <w:keepLines w:val="0"/>
        <w:pageBreakBefore w:val="0"/>
        <w:widowControl w:val="0"/>
        <w:kinsoku/>
        <w:wordWrap/>
        <w:overflowPunct/>
        <w:topLinePunct w:val="0"/>
        <w:bidi w:val="0"/>
        <w:spacing w:line="580" w:lineRule="exact"/>
        <w:ind w:left="0" w:firstLine="640" w:firstLineChars="200"/>
        <w:jc w:val="center"/>
        <w:textAlignment w:val="auto"/>
        <w:rPr>
          <w:rFonts w:hint="default" w:ascii="Times New Roman" w:hAnsi="Times New Roman" w:eastAsia="黑体" w:cs="Times New Roman"/>
          <w:sz w:val="32"/>
          <w:szCs w:val="32"/>
        </w:rPr>
      </w:pPr>
    </w:p>
    <w:p>
      <w:pPr>
        <w:keepNext w:val="0"/>
        <w:keepLines w:val="0"/>
        <w:pageBreakBefore w:val="0"/>
        <w:widowControl w:val="0"/>
        <w:kinsoku/>
        <w:wordWrap/>
        <w:overflowPunct/>
        <w:topLinePunct w:val="0"/>
        <w:bidi w:val="0"/>
        <w:spacing w:line="580" w:lineRule="exact"/>
        <w:ind w:left="0" w:firstLine="640" w:firstLineChars="200"/>
        <w:jc w:val="center"/>
        <w:textAlignment w:val="auto"/>
        <w:rPr>
          <w:rFonts w:hint="default" w:ascii="Times New Roman" w:hAnsi="Times New Roman" w:eastAsia="黑体" w:cs="Times New Roman"/>
          <w:sz w:val="32"/>
          <w:szCs w:val="32"/>
        </w:rPr>
      </w:pPr>
    </w:p>
    <w:p>
      <w:pPr>
        <w:keepNext w:val="0"/>
        <w:keepLines w:val="0"/>
        <w:pageBreakBefore w:val="0"/>
        <w:widowControl w:val="0"/>
        <w:kinsoku/>
        <w:wordWrap/>
        <w:overflowPunct/>
        <w:topLinePunct w:val="0"/>
        <w:bidi w:val="0"/>
        <w:spacing w:line="580" w:lineRule="exact"/>
        <w:ind w:left="0" w:firstLine="880" w:firstLineChars="200"/>
        <w:jc w:val="center"/>
        <w:textAlignment w:val="auto"/>
        <w:rPr>
          <w:rFonts w:hint="default" w:ascii="Times New Roman" w:hAnsi="Times New Roman" w:eastAsia="黑体" w:cs="Times New Roman"/>
          <w:sz w:val="44"/>
          <w:szCs w:val="44"/>
        </w:rPr>
      </w:pPr>
    </w:p>
    <w:p>
      <w:pPr>
        <w:keepNext w:val="0"/>
        <w:keepLines w:val="0"/>
        <w:pageBreakBefore w:val="0"/>
        <w:widowControl w:val="0"/>
        <w:kinsoku/>
        <w:wordWrap/>
        <w:overflowPunct/>
        <w:topLinePunct w:val="0"/>
        <w:bidi w:val="0"/>
        <w:spacing w:line="580" w:lineRule="exact"/>
        <w:ind w:left="0" w:firstLine="880" w:firstLineChars="200"/>
        <w:jc w:val="center"/>
        <w:textAlignment w:val="auto"/>
        <w:rPr>
          <w:rFonts w:hint="default" w:ascii="Times New Roman" w:hAnsi="Times New Roman" w:eastAsia="黑体" w:cs="Times New Roman"/>
          <w:sz w:val="44"/>
          <w:szCs w:val="44"/>
        </w:rPr>
      </w:pPr>
    </w:p>
    <w:p>
      <w:pPr>
        <w:keepNext w:val="0"/>
        <w:keepLines w:val="0"/>
        <w:pageBreakBefore w:val="0"/>
        <w:widowControl w:val="0"/>
        <w:kinsoku/>
        <w:wordWrap/>
        <w:overflowPunct/>
        <w:topLinePunct w:val="0"/>
        <w:bidi w:val="0"/>
        <w:spacing w:line="580" w:lineRule="exact"/>
        <w:ind w:left="0" w:firstLine="880" w:firstLineChars="200"/>
        <w:jc w:val="center"/>
        <w:textAlignment w:val="auto"/>
        <w:rPr>
          <w:rFonts w:hint="default" w:ascii="Times New Roman" w:hAnsi="Times New Roman" w:eastAsia="黑体" w:cs="Times New Roman"/>
          <w:sz w:val="44"/>
          <w:szCs w:val="44"/>
        </w:rPr>
      </w:pPr>
    </w:p>
    <w:p>
      <w:pPr>
        <w:keepNext w:val="0"/>
        <w:keepLines w:val="0"/>
        <w:pageBreakBefore w:val="0"/>
        <w:widowControl w:val="0"/>
        <w:kinsoku/>
        <w:wordWrap/>
        <w:overflowPunct/>
        <w:topLinePunct w:val="0"/>
        <w:bidi w:val="0"/>
        <w:spacing w:line="580" w:lineRule="exact"/>
        <w:ind w:left="0" w:firstLine="880" w:firstLineChars="200"/>
        <w:jc w:val="center"/>
        <w:textAlignment w:val="auto"/>
        <w:rPr>
          <w:rFonts w:hint="default" w:ascii="Times New Roman" w:hAnsi="Times New Roman" w:eastAsia="黑体" w:cs="Times New Roman"/>
          <w:sz w:val="44"/>
          <w:szCs w:val="44"/>
        </w:rPr>
      </w:pPr>
    </w:p>
    <w:p>
      <w:pPr>
        <w:keepNext w:val="0"/>
        <w:keepLines w:val="0"/>
        <w:pageBreakBefore w:val="0"/>
        <w:widowControl w:val="0"/>
        <w:kinsoku/>
        <w:wordWrap/>
        <w:overflowPunct/>
        <w:topLinePunct w:val="0"/>
        <w:bidi w:val="0"/>
        <w:spacing w:line="580" w:lineRule="exact"/>
        <w:ind w:left="0" w:firstLine="880" w:firstLineChars="200"/>
        <w:jc w:val="center"/>
        <w:textAlignment w:val="auto"/>
        <w:rPr>
          <w:rFonts w:hint="default" w:ascii="Times New Roman" w:hAnsi="Times New Roman" w:eastAsia="黑体" w:cs="Times New Roman"/>
          <w:sz w:val="44"/>
          <w:szCs w:val="44"/>
        </w:rPr>
      </w:pPr>
    </w:p>
    <w:p>
      <w:pPr>
        <w:keepNext w:val="0"/>
        <w:keepLines w:val="0"/>
        <w:pageBreakBefore w:val="0"/>
        <w:widowControl w:val="0"/>
        <w:kinsoku/>
        <w:wordWrap/>
        <w:overflowPunct/>
        <w:topLinePunct w:val="0"/>
        <w:bidi w:val="0"/>
        <w:spacing w:line="580" w:lineRule="exact"/>
        <w:ind w:left="0" w:firstLine="720" w:firstLineChars="200"/>
        <w:jc w:val="both"/>
        <w:textAlignment w:val="auto"/>
        <w:rPr>
          <w:rFonts w:eastAsia="黑体"/>
          <w:sz w:val="36"/>
          <w:szCs w:val="36"/>
        </w:rPr>
      </w:pPr>
    </w:p>
    <w:p>
      <w:pPr>
        <w:keepNext w:val="0"/>
        <w:keepLines w:val="0"/>
        <w:pageBreakBefore w:val="0"/>
        <w:widowControl w:val="0"/>
        <w:kinsoku/>
        <w:wordWrap/>
        <w:overflowPunct/>
        <w:topLinePunct w:val="0"/>
        <w:bidi w:val="0"/>
        <w:spacing w:line="580" w:lineRule="exact"/>
        <w:ind w:left="0" w:firstLine="640" w:firstLineChars="200"/>
        <w:jc w:val="both"/>
        <w:textAlignment w:val="auto"/>
        <w:rPr>
          <w:rFonts w:eastAsia="黑体"/>
          <w:sz w:val="32"/>
          <w:szCs w:val="32"/>
        </w:rPr>
      </w:pPr>
    </w:p>
    <w:p>
      <w:pPr>
        <w:keepNext w:val="0"/>
        <w:keepLines w:val="0"/>
        <w:pageBreakBefore w:val="0"/>
        <w:widowControl w:val="0"/>
        <w:kinsoku/>
        <w:wordWrap/>
        <w:overflowPunct/>
        <w:topLinePunct w:val="0"/>
        <w:bidi w:val="0"/>
        <w:spacing w:line="580" w:lineRule="exact"/>
        <w:ind w:left="0" w:firstLine="640" w:firstLineChars="200"/>
        <w:jc w:val="both"/>
        <w:textAlignment w:val="auto"/>
        <w:rPr>
          <w:rFonts w:eastAsia="黑体"/>
          <w:sz w:val="32"/>
          <w:szCs w:val="32"/>
        </w:rPr>
      </w:pPr>
    </w:p>
    <w:p>
      <w:pPr>
        <w:keepNext w:val="0"/>
        <w:keepLines w:val="0"/>
        <w:pageBreakBefore w:val="0"/>
        <w:widowControl w:val="0"/>
        <w:kinsoku/>
        <w:wordWrap/>
        <w:overflowPunct/>
        <w:topLinePunct w:val="0"/>
        <w:bidi w:val="0"/>
        <w:spacing w:line="580" w:lineRule="exact"/>
        <w:ind w:left="0" w:firstLine="640" w:firstLineChars="200"/>
        <w:jc w:val="both"/>
        <w:textAlignment w:val="auto"/>
        <w:rPr>
          <w:rFonts w:eastAsia="黑体"/>
          <w:sz w:val="32"/>
          <w:szCs w:val="32"/>
        </w:rPr>
      </w:pPr>
    </w:p>
    <w:p>
      <w:pPr>
        <w:keepNext w:val="0"/>
        <w:keepLines w:val="0"/>
        <w:pageBreakBefore w:val="0"/>
        <w:widowControl w:val="0"/>
        <w:kinsoku/>
        <w:wordWrap/>
        <w:overflowPunct/>
        <w:topLinePunct w:val="0"/>
        <w:bidi w:val="0"/>
        <w:spacing w:line="580" w:lineRule="exact"/>
        <w:ind w:left="0" w:firstLine="640" w:firstLineChars="200"/>
        <w:jc w:val="both"/>
        <w:textAlignment w:val="auto"/>
        <w:rPr>
          <w:rFonts w:eastAsia="黑体"/>
          <w:sz w:val="32"/>
          <w:szCs w:val="32"/>
        </w:rPr>
      </w:pPr>
    </w:p>
    <w:p>
      <w:pPr>
        <w:keepNext w:val="0"/>
        <w:keepLines w:val="0"/>
        <w:pageBreakBefore w:val="0"/>
        <w:widowControl w:val="0"/>
        <w:kinsoku/>
        <w:wordWrap/>
        <w:overflowPunct/>
        <w:topLinePunct w:val="0"/>
        <w:bidi w:val="0"/>
        <w:spacing w:line="580" w:lineRule="exact"/>
        <w:ind w:left="0" w:firstLine="640" w:firstLineChars="200"/>
        <w:jc w:val="both"/>
        <w:textAlignment w:val="auto"/>
        <w:rPr>
          <w:rFonts w:eastAsia="黑体"/>
          <w:sz w:val="32"/>
          <w:szCs w:val="32"/>
        </w:rPr>
      </w:pPr>
      <w:r>
        <w:rPr>
          <w:rFonts w:eastAsia="黑体"/>
          <w:sz w:val="32"/>
          <w:szCs w:val="32"/>
        </w:rPr>
        <w:t>一、基本情况</w:t>
      </w:r>
    </w:p>
    <w:p>
      <w:pPr>
        <w:keepNext w:val="0"/>
        <w:keepLines w:val="0"/>
        <w:pageBreakBefore w:val="0"/>
        <w:widowControl w:val="0"/>
        <w:kinsoku/>
        <w:wordWrap/>
        <w:overflowPunct/>
        <w:topLinePunct w:val="0"/>
        <w:bidi w:val="0"/>
        <w:spacing w:line="580" w:lineRule="exact"/>
        <w:ind w:left="0" w:firstLine="640" w:firstLineChars="200"/>
        <w:jc w:val="both"/>
        <w:textAlignment w:val="auto"/>
        <w:rPr>
          <w:rFonts w:eastAsia="楷体_GB2312"/>
          <w:sz w:val="32"/>
          <w:szCs w:val="32"/>
        </w:rPr>
      </w:pPr>
      <w:r>
        <w:rPr>
          <w:rFonts w:eastAsia="楷体_GB2312"/>
          <w:sz w:val="32"/>
          <w:szCs w:val="32"/>
        </w:rPr>
        <w:t>（一）部门</w:t>
      </w:r>
      <w:bookmarkStart w:id="0" w:name="_GoBack"/>
      <w:bookmarkEnd w:id="0"/>
      <w:r>
        <w:rPr>
          <w:rFonts w:eastAsia="楷体_GB2312"/>
          <w:sz w:val="32"/>
          <w:szCs w:val="32"/>
        </w:rPr>
        <w:t>基本情况</w:t>
      </w:r>
    </w:p>
    <w:p>
      <w:pPr>
        <w:keepNext w:val="0"/>
        <w:keepLines w:val="0"/>
        <w:pageBreakBefore w:val="0"/>
        <w:widowControl w:val="0"/>
        <w:tabs>
          <w:tab w:val="left" w:pos="7560"/>
        </w:tabs>
        <w:kinsoku/>
        <w:wordWrap/>
        <w:overflowPunct/>
        <w:topLinePunct w:val="0"/>
        <w:bidi w:val="0"/>
        <w:adjustRightInd w:val="0"/>
        <w:snapToGrid w:val="0"/>
        <w:spacing w:line="580" w:lineRule="exact"/>
        <w:ind w:left="0" w:firstLine="640" w:firstLineChars="200"/>
        <w:jc w:val="both"/>
        <w:textAlignment w:val="auto"/>
        <w:rPr>
          <w:rFonts w:eastAsia="仿宋_GB2312"/>
          <w:sz w:val="32"/>
          <w:szCs w:val="32"/>
        </w:rPr>
      </w:pPr>
      <w:r>
        <w:rPr>
          <w:rFonts w:hint="eastAsia" w:eastAsia="仿宋_GB2312"/>
          <w:sz w:val="32"/>
          <w:szCs w:val="32"/>
        </w:rPr>
        <w:t xml:space="preserve">1. </w:t>
      </w:r>
      <w:r>
        <w:rPr>
          <w:rFonts w:eastAsia="仿宋_GB2312"/>
          <w:sz w:val="32"/>
          <w:szCs w:val="32"/>
        </w:rPr>
        <w:t>拟订并组织实施全区国民经济和社会发展战略、中长期规划和年度计划；负责区级专项规划、区域规划、空间规划与全区发展规划的统筹衔接；提出全区国民经济发展建议，受区人民政府委托向区人民代表大会提交国民经济和社会发展计划报告。</w:t>
      </w:r>
    </w:p>
    <w:p>
      <w:pPr>
        <w:keepNext w:val="0"/>
        <w:keepLines w:val="0"/>
        <w:pageBreakBefore w:val="0"/>
        <w:widowControl w:val="0"/>
        <w:tabs>
          <w:tab w:val="left" w:pos="7560"/>
        </w:tabs>
        <w:kinsoku/>
        <w:wordWrap/>
        <w:overflowPunct/>
        <w:topLinePunct w:val="0"/>
        <w:bidi w:val="0"/>
        <w:adjustRightInd w:val="0"/>
        <w:snapToGrid w:val="0"/>
        <w:spacing w:line="580" w:lineRule="exact"/>
        <w:ind w:left="0" w:firstLine="640" w:firstLineChars="200"/>
        <w:jc w:val="both"/>
        <w:textAlignment w:val="auto"/>
        <w:rPr>
          <w:rFonts w:eastAsia="仿宋_GB2312"/>
          <w:sz w:val="32"/>
          <w:szCs w:val="32"/>
        </w:rPr>
      </w:pPr>
      <w:r>
        <w:rPr>
          <w:rFonts w:hint="eastAsia" w:eastAsia="仿宋_GB2312"/>
          <w:sz w:val="32"/>
          <w:szCs w:val="32"/>
        </w:rPr>
        <w:t xml:space="preserve">2. </w:t>
      </w:r>
      <w:r>
        <w:rPr>
          <w:rFonts w:eastAsia="仿宋_GB2312"/>
          <w:sz w:val="32"/>
          <w:szCs w:val="32"/>
        </w:rPr>
        <w:t>研究提出加快建设现代化经济体系、推动高质量发展的总体目标、重大任务以及相关政策。组织开展重大战略规划、重大政策、重大工程等评估督导，提出相关调整建议。</w:t>
      </w:r>
    </w:p>
    <w:p>
      <w:pPr>
        <w:keepNext w:val="0"/>
        <w:keepLines w:val="0"/>
        <w:pageBreakBefore w:val="0"/>
        <w:widowControl w:val="0"/>
        <w:tabs>
          <w:tab w:val="left" w:pos="7560"/>
        </w:tabs>
        <w:kinsoku/>
        <w:wordWrap/>
        <w:overflowPunct/>
        <w:topLinePunct w:val="0"/>
        <w:bidi w:val="0"/>
        <w:adjustRightInd w:val="0"/>
        <w:snapToGrid w:val="0"/>
        <w:spacing w:line="580" w:lineRule="exact"/>
        <w:ind w:left="0" w:firstLine="640" w:firstLineChars="200"/>
        <w:jc w:val="both"/>
        <w:textAlignment w:val="auto"/>
        <w:rPr>
          <w:rFonts w:eastAsia="仿宋_GB2312"/>
          <w:sz w:val="32"/>
          <w:szCs w:val="32"/>
        </w:rPr>
      </w:pPr>
      <w:r>
        <w:rPr>
          <w:rFonts w:hint="eastAsia" w:eastAsia="仿宋_GB2312"/>
          <w:sz w:val="32"/>
          <w:szCs w:val="32"/>
        </w:rPr>
        <w:t xml:space="preserve">3. </w:t>
      </w:r>
      <w:r>
        <w:rPr>
          <w:rFonts w:eastAsia="仿宋_GB2312"/>
          <w:sz w:val="32"/>
          <w:szCs w:val="32"/>
        </w:rPr>
        <w:t>研究拟定全区国民经济和社会发展主要目标；预测研判全区经济运行趋势，提出调控政策和建议；调节国民经济运行，协调经济运行中的重大问题。</w:t>
      </w:r>
    </w:p>
    <w:p>
      <w:pPr>
        <w:keepNext w:val="0"/>
        <w:keepLines w:val="0"/>
        <w:pageBreakBefore w:val="0"/>
        <w:widowControl w:val="0"/>
        <w:tabs>
          <w:tab w:val="left" w:pos="7560"/>
        </w:tabs>
        <w:kinsoku/>
        <w:wordWrap/>
        <w:overflowPunct/>
        <w:topLinePunct w:val="0"/>
        <w:bidi w:val="0"/>
        <w:adjustRightInd w:val="0"/>
        <w:snapToGrid w:val="0"/>
        <w:spacing w:line="580" w:lineRule="exact"/>
        <w:ind w:left="0" w:firstLine="640" w:firstLineChars="200"/>
        <w:jc w:val="both"/>
        <w:textAlignment w:val="auto"/>
        <w:rPr>
          <w:rFonts w:eastAsia="仿宋_GB2312"/>
          <w:sz w:val="32"/>
          <w:szCs w:val="32"/>
        </w:rPr>
      </w:pPr>
      <w:r>
        <w:rPr>
          <w:rFonts w:hint="eastAsia" w:eastAsia="仿宋_GB2312"/>
          <w:sz w:val="32"/>
          <w:szCs w:val="32"/>
        </w:rPr>
        <w:t xml:space="preserve">4. </w:t>
      </w:r>
      <w:r>
        <w:rPr>
          <w:rFonts w:eastAsia="仿宋_GB2312"/>
          <w:sz w:val="32"/>
          <w:szCs w:val="32"/>
        </w:rPr>
        <w:t>指导推进和综合协调全区经济体制改革，提出相关政策建议；牵头推进供给侧结构性改革；协调推进产权制度和要素市场化配置改革，推动完善基本经济制度和现代市场体系建设，会同相关部门组织实施市场准入负面清单制度；组织拟订综合性经济体制改革方案，协调有关专项经济体制改革。</w:t>
      </w:r>
    </w:p>
    <w:p>
      <w:pPr>
        <w:keepNext w:val="0"/>
        <w:keepLines w:val="0"/>
        <w:pageBreakBefore w:val="0"/>
        <w:widowControl w:val="0"/>
        <w:tabs>
          <w:tab w:val="left" w:pos="7560"/>
        </w:tabs>
        <w:kinsoku/>
        <w:wordWrap/>
        <w:overflowPunct/>
        <w:topLinePunct w:val="0"/>
        <w:bidi w:val="0"/>
        <w:adjustRightInd w:val="0"/>
        <w:snapToGrid w:val="0"/>
        <w:spacing w:line="580" w:lineRule="exact"/>
        <w:ind w:left="0" w:firstLine="640" w:firstLineChars="200"/>
        <w:jc w:val="both"/>
        <w:textAlignment w:val="auto"/>
        <w:rPr>
          <w:rFonts w:eastAsia="仿宋_GB2312"/>
          <w:sz w:val="32"/>
          <w:szCs w:val="32"/>
        </w:rPr>
      </w:pPr>
      <w:r>
        <w:rPr>
          <w:rFonts w:hint="eastAsia" w:eastAsia="仿宋_GB2312"/>
          <w:sz w:val="32"/>
          <w:szCs w:val="32"/>
        </w:rPr>
        <w:t xml:space="preserve">5. </w:t>
      </w:r>
      <w:r>
        <w:rPr>
          <w:rFonts w:eastAsia="仿宋_GB2312"/>
          <w:sz w:val="32"/>
          <w:szCs w:val="32"/>
        </w:rPr>
        <w:t>负责协调第一、二、三产业发展的重大问题并组织拟订综合性产业政策，协调农业农村经济社会发展的重大问题；组织拟订并推动实施全区服务业和现代物流业发展规划和重大政策。</w:t>
      </w:r>
    </w:p>
    <w:p>
      <w:pPr>
        <w:keepNext w:val="0"/>
        <w:keepLines w:val="0"/>
        <w:pageBreakBefore w:val="0"/>
        <w:widowControl w:val="0"/>
        <w:tabs>
          <w:tab w:val="left" w:pos="7560"/>
        </w:tabs>
        <w:kinsoku/>
        <w:wordWrap/>
        <w:overflowPunct/>
        <w:topLinePunct w:val="0"/>
        <w:bidi w:val="0"/>
        <w:adjustRightInd w:val="0"/>
        <w:snapToGrid w:val="0"/>
        <w:spacing w:line="580" w:lineRule="exact"/>
        <w:ind w:left="0" w:firstLine="640" w:firstLineChars="200"/>
        <w:jc w:val="both"/>
        <w:textAlignment w:val="auto"/>
        <w:rPr>
          <w:rFonts w:eastAsia="仿宋_GB2312"/>
          <w:sz w:val="32"/>
          <w:szCs w:val="32"/>
        </w:rPr>
      </w:pPr>
      <w:r>
        <w:rPr>
          <w:rFonts w:hint="eastAsia" w:eastAsia="仿宋_GB2312"/>
          <w:sz w:val="32"/>
          <w:szCs w:val="32"/>
        </w:rPr>
        <w:t xml:space="preserve">6. </w:t>
      </w:r>
      <w:r>
        <w:rPr>
          <w:rFonts w:eastAsia="仿宋_GB2312"/>
          <w:sz w:val="32"/>
          <w:szCs w:val="32"/>
        </w:rPr>
        <w:t>参与制定财政、金融、土地政策并综合分析政策执行效果；承担企业债券发行的信息收集和上报工作。</w:t>
      </w:r>
    </w:p>
    <w:p>
      <w:pPr>
        <w:keepNext w:val="0"/>
        <w:keepLines w:val="0"/>
        <w:pageBreakBefore w:val="0"/>
        <w:widowControl w:val="0"/>
        <w:tabs>
          <w:tab w:val="left" w:pos="7560"/>
        </w:tabs>
        <w:kinsoku/>
        <w:wordWrap/>
        <w:overflowPunct/>
        <w:topLinePunct w:val="0"/>
        <w:bidi w:val="0"/>
        <w:adjustRightInd w:val="0"/>
        <w:snapToGrid w:val="0"/>
        <w:spacing w:line="580" w:lineRule="exact"/>
        <w:ind w:left="0" w:firstLine="640" w:firstLineChars="200"/>
        <w:jc w:val="both"/>
        <w:textAlignment w:val="auto"/>
        <w:rPr>
          <w:rFonts w:eastAsia="仿宋_GB2312"/>
          <w:sz w:val="32"/>
          <w:szCs w:val="32"/>
        </w:rPr>
      </w:pPr>
      <w:r>
        <w:rPr>
          <w:rFonts w:hint="eastAsia" w:eastAsia="仿宋_GB2312"/>
          <w:sz w:val="32"/>
          <w:szCs w:val="32"/>
        </w:rPr>
        <w:t xml:space="preserve">7. </w:t>
      </w:r>
      <w:r>
        <w:rPr>
          <w:rFonts w:eastAsia="仿宋_GB2312"/>
          <w:sz w:val="32"/>
          <w:szCs w:val="32"/>
        </w:rPr>
        <w:t>组织编制全区“两型”社会建设综合配套改革总体实施方案，指导、协调全区“两型社会”建设综合配套改革的有关工作。</w:t>
      </w:r>
    </w:p>
    <w:p>
      <w:pPr>
        <w:keepNext w:val="0"/>
        <w:keepLines w:val="0"/>
        <w:pageBreakBefore w:val="0"/>
        <w:widowControl w:val="0"/>
        <w:tabs>
          <w:tab w:val="left" w:pos="7560"/>
        </w:tabs>
        <w:kinsoku/>
        <w:wordWrap/>
        <w:overflowPunct/>
        <w:topLinePunct w:val="0"/>
        <w:bidi w:val="0"/>
        <w:adjustRightInd w:val="0"/>
        <w:snapToGrid w:val="0"/>
        <w:spacing w:line="580" w:lineRule="exact"/>
        <w:ind w:left="0" w:firstLine="640" w:firstLineChars="200"/>
        <w:jc w:val="both"/>
        <w:textAlignment w:val="auto"/>
        <w:rPr>
          <w:rFonts w:eastAsia="仿宋_GB2312"/>
          <w:sz w:val="32"/>
          <w:szCs w:val="32"/>
        </w:rPr>
      </w:pPr>
      <w:r>
        <w:rPr>
          <w:rFonts w:hint="eastAsia" w:eastAsia="仿宋_GB2312"/>
          <w:sz w:val="32"/>
          <w:szCs w:val="32"/>
        </w:rPr>
        <w:t xml:space="preserve">8. </w:t>
      </w:r>
      <w:r>
        <w:rPr>
          <w:rFonts w:eastAsia="仿宋_GB2312"/>
          <w:sz w:val="32"/>
          <w:szCs w:val="32"/>
        </w:rPr>
        <w:t>负责社会发展与国民经济发展的政策衔接；协调社会领域事业和产业发展政策及改革重大问题。</w:t>
      </w:r>
    </w:p>
    <w:p>
      <w:pPr>
        <w:keepNext w:val="0"/>
        <w:keepLines w:val="0"/>
        <w:pageBreakBefore w:val="0"/>
        <w:widowControl w:val="0"/>
        <w:tabs>
          <w:tab w:val="left" w:pos="7560"/>
        </w:tabs>
        <w:kinsoku/>
        <w:wordWrap/>
        <w:overflowPunct/>
        <w:topLinePunct w:val="0"/>
        <w:bidi w:val="0"/>
        <w:adjustRightInd w:val="0"/>
        <w:snapToGrid w:val="0"/>
        <w:spacing w:line="580" w:lineRule="exact"/>
        <w:ind w:left="0" w:firstLine="640" w:firstLineChars="200"/>
        <w:jc w:val="both"/>
        <w:textAlignment w:val="auto"/>
        <w:rPr>
          <w:rFonts w:eastAsia="仿宋_GB2312"/>
          <w:sz w:val="32"/>
          <w:szCs w:val="32"/>
        </w:rPr>
      </w:pPr>
      <w:r>
        <w:rPr>
          <w:rFonts w:hint="eastAsia" w:eastAsia="仿宋_GB2312"/>
          <w:sz w:val="32"/>
          <w:szCs w:val="32"/>
        </w:rPr>
        <w:t xml:space="preserve">9. </w:t>
      </w:r>
      <w:r>
        <w:rPr>
          <w:rFonts w:eastAsia="仿宋_GB2312"/>
          <w:sz w:val="32"/>
          <w:szCs w:val="32"/>
        </w:rPr>
        <w:t>拟订全区全社会固定资产投资总规模；规划重大项目和生产力布局；研究提出中长期和年度区重点建设项目规划与计划；统筹安排区级财政性建设资金和投资项目，编制下达政府投资项目年度计划。</w:t>
      </w:r>
    </w:p>
    <w:p>
      <w:pPr>
        <w:keepNext w:val="0"/>
        <w:keepLines w:val="0"/>
        <w:pageBreakBefore w:val="0"/>
        <w:widowControl w:val="0"/>
        <w:tabs>
          <w:tab w:val="left" w:pos="7560"/>
        </w:tabs>
        <w:kinsoku/>
        <w:wordWrap/>
        <w:overflowPunct/>
        <w:topLinePunct w:val="0"/>
        <w:bidi w:val="0"/>
        <w:adjustRightInd w:val="0"/>
        <w:snapToGrid w:val="0"/>
        <w:spacing w:line="580" w:lineRule="exact"/>
        <w:ind w:left="0" w:firstLine="640" w:firstLineChars="200"/>
        <w:jc w:val="both"/>
        <w:textAlignment w:val="auto"/>
        <w:rPr>
          <w:rFonts w:eastAsia="仿宋_GB2312"/>
          <w:sz w:val="32"/>
          <w:szCs w:val="32"/>
        </w:rPr>
      </w:pPr>
      <w:r>
        <w:rPr>
          <w:rFonts w:hint="eastAsia" w:eastAsia="仿宋_GB2312"/>
          <w:sz w:val="32"/>
          <w:szCs w:val="32"/>
        </w:rPr>
        <w:t xml:space="preserve">10. </w:t>
      </w:r>
      <w:r>
        <w:rPr>
          <w:rFonts w:eastAsia="仿宋_GB2312"/>
          <w:sz w:val="32"/>
          <w:szCs w:val="32"/>
        </w:rPr>
        <w:t>按规定权限审批、核准、审核、备案项目；核准区投区建项目的工程建设项目招标方式、招标组织形式和招标范围；承担政府投资项目代建制实施的指导、协调和监督管理工作；负责组织对政府投资项目进行评审。</w:t>
      </w:r>
    </w:p>
    <w:p>
      <w:pPr>
        <w:keepNext w:val="0"/>
        <w:keepLines w:val="0"/>
        <w:pageBreakBefore w:val="0"/>
        <w:widowControl w:val="0"/>
        <w:tabs>
          <w:tab w:val="left" w:pos="7560"/>
        </w:tabs>
        <w:kinsoku/>
        <w:wordWrap/>
        <w:overflowPunct/>
        <w:topLinePunct w:val="0"/>
        <w:bidi w:val="0"/>
        <w:adjustRightInd w:val="0"/>
        <w:snapToGrid w:val="0"/>
        <w:spacing w:line="580" w:lineRule="exact"/>
        <w:ind w:left="0" w:firstLine="640" w:firstLineChars="200"/>
        <w:jc w:val="both"/>
        <w:textAlignment w:val="auto"/>
        <w:rPr>
          <w:rFonts w:eastAsia="仿宋_GB2312"/>
          <w:sz w:val="32"/>
          <w:szCs w:val="32"/>
        </w:rPr>
      </w:pPr>
      <w:r>
        <w:rPr>
          <w:rFonts w:hint="eastAsia" w:eastAsia="仿宋_GB2312"/>
          <w:sz w:val="32"/>
          <w:szCs w:val="32"/>
        </w:rPr>
        <w:t xml:space="preserve">11. </w:t>
      </w:r>
      <w:r>
        <w:rPr>
          <w:rFonts w:eastAsia="仿宋_GB2312"/>
          <w:sz w:val="32"/>
          <w:szCs w:val="32"/>
        </w:rPr>
        <w:t>负责节能的综合协调工作，组织拟订绿色发展和循环经济、能源资源节约和综合利用规划、政策并协调实施。牵头组织实施新能源有关工作。</w:t>
      </w:r>
    </w:p>
    <w:p>
      <w:pPr>
        <w:keepNext w:val="0"/>
        <w:keepLines w:val="0"/>
        <w:pageBreakBefore w:val="0"/>
        <w:widowControl w:val="0"/>
        <w:tabs>
          <w:tab w:val="left" w:pos="7560"/>
        </w:tabs>
        <w:kinsoku/>
        <w:wordWrap/>
        <w:overflowPunct/>
        <w:topLinePunct w:val="0"/>
        <w:bidi w:val="0"/>
        <w:adjustRightInd w:val="0"/>
        <w:snapToGrid w:val="0"/>
        <w:spacing w:line="580" w:lineRule="exact"/>
        <w:ind w:left="0" w:firstLine="640" w:firstLineChars="200"/>
        <w:jc w:val="both"/>
        <w:textAlignment w:val="auto"/>
        <w:rPr>
          <w:rFonts w:eastAsia="仿宋_GB2312"/>
          <w:sz w:val="32"/>
          <w:szCs w:val="32"/>
        </w:rPr>
      </w:pPr>
      <w:r>
        <w:rPr>
          <w:rFonts w:hint="eastAsia" w:eastAsia="仿宋_GB2312"/>
          <w:sz w:val="32"/>
          <w:szCs w:val="32"/>
        </w:rPr>
        <w:t xml:space="preserve">12. </w:t>
      </w:r>
      <w:r>
        <w:rPr>
          <w:rFonts w:eastAsia="仿宋_GB2312"/>
          <w:sz w:val="32"/>
          <w:szCs w:val="32"/>
        </w:rPr>
        <w:t>贯彻执行国家价格方针、政策、法律和法规，负责在全区实施上级部门下达的价格改革和价格调整方案；监督管理全区行政事业性收费及服务价格工作；对重要商品和服务价格变动进行动态监控；负责价格调节基金的申报和管理；负责全区涉案物品价格认证工作及价格咨询服务。</w:t>
      </w:r>
    </w:p>
    <w:p>
      <w:pPr>
        <w:keepNext w:val="0"/>
        <w:keepLines w:val="0"/>
        <w:pageBreakBefore w:val="0"/>
        <w:widowControl w:val="0"/>
        <w:tabs>
          <w:tab w:val="left" w:pos="7560"/>
        </w:tabs>
        <w:kinsoku/>
        <w:wordWrap/>
        <w:overflowPunct/>
        <w:topLinePunct w:val="0"/>
        <w:bidi w:val="0"/>
        <w:adjustRightInd w:val="0"/>
        <w:snapToGrid w:val="0"/>
        <w:spacing w:line="580" w:lineRule="exact"/>
        <w:ind w:left="0" w:firstLine="640" w:firstLineChars="200"/>
        <w:jc w:val="both"/>
        <w:textAlignment w:val="auto"/>
        <w:rPr>
          <w:rFonts w:eastAsia="仿宋_GB2312"/>
          <w:sz w:val="32"/>
          <w:szCs w:val="32"/>
        </w:rPr>
      </w:pPr>
      <w:r>
        <w:rPr>
          <w:rFonts w:hint="eastAsia" w:eastAsia="仿宋_GB2312"/>
          <w:sz w:val="32"/>
          <w:szCs w:val="32"/>
        </w:rPr>
        <w:t xml:space="preserve">13. </w:t>
      </w:r>
      <w:r>
        <w:rPr>
          <w:rFonts w:eastAsia="仿宋_GB2312"/>
          <w:sz w:val="32"/>
          <w:szCs w:val="32"/>
        </w:rPr>
        <w:t>拟订全区推进社会信用体系建设的规章、规划、政策措施，统筹推进全区信用信息平台建设，协调有关重大问题。</w:t>
      </w:r>
    </w:p>
    <w:p>
      <w:pPr>
        <w:keepNext w:val="0"/>
        <w:keepLines w:val="0"/>
        <w:pageBreakBefore w:val="0"/>
        <w:widowControl w:val="0"/>
        <w:tabs>
          <w:tab w:val="left" w:pos="7560"/>
        </w:tabs>
        <w:kinsoku/>
        <w:wordWrap/>
        <w:overflowPunct/>
        <w:topLinePunct w:val="0"/>
        <w:bidi w:val="0"/>
        <w:adjustRightInd w:val="0"/>
        <w:snapToGrid w:val="0"/>
        <w:spacing w:line="580" w:lineRule="exact"/>
        <w:ind w:left="0" w:firstLine="640" w:firstLineChars="200"/>
        <w:jc w:val="both"/>
        <w:textAlignment w:val="auto"/>
        <w:rPr>
          <w:rFonts w:eastAsia="仿宋_GB2312"/>
          <w:sz w:val="32"/>
          <w:szCs w:val="32"/>
        </w:rPr>
      </w:pPr>
      <w:r>
        <w:rPr>
          <w:rFonts w:hint="eastAsia" w:eastAsia="仿宋_GB2312"/>
          <w:sz w:val="32"/>
          <w:szCs w:val="32"/>
        </w:rPr>
        <w:t xml:space="preserve">14. </w:t>
      </w:r>
      <w:r>
        <w:rPr>
          <w:rFonts w:eastAsia="仿宋_GB2312"/>
          <w:sz w:val="32"/>
          <w:szCs w:val="32"/>
        </w:rPr>
        <w:t>组织和实施全区国民经济动员有关工作。</w:t>
      </w:r>
    </w:p>
    <w:p>
      <w:pPr>
        <w:keepNext w:val="0"/>
        <w:keepLines w:val="0"/>
        <w:pageBreakBefore w:val="0"/>
        <w:widowControl w:val="0"/>
        <w:kinsoku/>
        <w:wordWrap/>
        <w:overflowPunct/>
        <w:topLinePunct w:val="0"/>
        <w:bidi w:val="0"/>
        <w:spacing w:line="580" w:lineRule="exact"/>
        <w:ind w:left="0" w:firstLine="640" w:firstLineChars="200"/>
        <w:jc w:val="both"/>
        <w:textAlignment w:val="auto"/>
        <w:rPr>
          <w:rFonts w:eastAsia="楷体_GB2312"/>
          <w:sz w:val="32"/>
          <w:szCs w:val="32"/>
        </w:rPr>
      </w:pPr>
      <w:r>
        <w:rPr>
          <w:rFonts w:hint="eastAsia" w:eastAsia="仿宋_GB2312"/>
          <w:sz w:val="32"/>
          <w:szCs w:val="32"/>
        </w:rPr>
        <w:t xml:space="preserve">15. </w:t>
      </w:r>
      <w:r>
        <w:rPr>
          <w:rFonts w:eastAsia="仿宋_GB2312"/>
          <w:sz w:val="32"/>
          <w:szCs w:val="32"/>
        </w:rPr>
        <w:t>完成区委、区政府交办的其他任务。</w:t>
      </w:r>
    </w:p>
    <w:p>
      <w:pPr>
        <w:keepNext w:val="0"/>
        <w:keepLines w:val="0"/>
        <w:pageBreakBefore w:val="0"/>
        <w:widowControl w:val="0"/>
        <w:kinsoku/>
        <w:wordWrap/>
        <w:overflowPunct/>
        <w:topLinePunct w:val="0"/>
        <w:bidi w:val="0"/>
        <w:spacing w:line="580" w:lineRule="exact"/>
        <w:ind w:left="0" w:firstLine="640" w:firstLineChars="200"/>
        <w:jc w:val="both"/>
        <w:textAlignment w:val="auto"/>
        <w:rPr>
          <w:rFonts w:eastAsia="楷体_GB2312"/>
          <w:sz w:val="32"/>
          <w:szCs w:val="32"/>
        </w:rPr>
      </w:pPr>
      <w:r>
        <w:rPr>
          <w:rFonts w:eastAsia="楷体_GB2312"/>
          <w:sz w:val="32"/>
          <w:szCs w:val="32"/>
        </w:rPr>
        <w:t>（二）部门（单位）年度整体支出绩效目标，部门专项资金绩效目标、其他项目支出（除省级专项资金以外）绩效目标</w:t>
      </w:r>
    </w:p>
    <w:p>
      <w:pPr>
        <w:keepNext w:val="0"/>
        <w:keepLines w:val="0"/>
        <w:pageBreakBefore w:val="0"/>
        <w:widowControl w:val="0"/>
        <w:kinsoku/>
        <w:wordWrap/>
        <w:overflowPunct/>
        <w:topLinePunct w:val="0"/>
        <w:bidi w:val="0"/>
        <w:spacing w:line="580" w:lineRule="exact"/>
        <w:ind w:left="0" w:firstLine="640" w:firstLineChars="200"/>
        <w:jc w:val="both"/>
        <w:textAlignment w:val="auto"/>
        <w:rPr>
          <w:rFonts w:eastAsia="仿宋"/>
          <w:sz w:val="32"/>
          <w:szCs w:val="32"/>
        </w:rPr>
      </w:pPr>
      <w:r>
        <w:rPr>
          <w:rFonts w:eastAsia="仿宋"/>
          <w:sz w:val="32"/>
          <w:szCs w:val="32"/>
        </w:rPr>
        <w:t>全年实现</w:t>
      </w:r>
      <w:r>
        <w:rPr>
          <w:rFonts w:hint="eastAsia" w:eastAsia="仿宋"/>
          <w:sz w:val="32"/>
          <w:szCs w:val="32"/>
        </w:rPr>
        <w:t>参政设谋能力进一步提升；</w:t>
      </w:r>
      <w:r>
        <w:rPr>
          <w:rFonts w:eastAsia="仿宋"/>
          <w:sz w:val="32"/>
          <w:szCs w:val="32"/>
        </w:rPr>
        <w:t>重点建设项目高质量快速推进；重大项目前期工作成效显著；固定资产投资势头佳；</w:t>
      </w:r>
      <w:r>
        <w:rPr>
          <w:rFonts w:hint="eastAsia" w:eastAsia="仿宋"/>
          <w:sz w:val="32"/>
          <w:szCs w:val="32"/>
        </w:rPr>
        <w:t>争资引项有新突破；</w:t>
      </w:r>
      <w:r>
        <w:rPr>
          <w:rFonts w:eastAsia="仿宋"/>
          <w:sz w:val="32"/>
          <w:szCs w:val="32"/>
        </w:rPr>
        <w:t>节能宣传及新能源工作有序</w:t>
      </w:r>
      <w:r>
        <w:rPr>
          <w:rFonts w:hint="eastAsia" w:eastAsia="仿宋"/>
          <w:sz w:val="32"/>
          <w:szCs w:val="32"/>
        </w:rPr>
        <w:t>开展</w:t>
      </w:r>
      <w:r>
        <w:rPr>
          <w:rFonts w:eastAsia="仿宋"/>
          <w:sz w:val="32"/>
          <w:szCs w:val="32"/>
        </w:rPr>
        <w:t>；</w:t>
      </w:r>
      <w:r>
        <w:rPr>
          <w:rFonts w:hint="eastAsia" w:eastAsia="仿宋"/>
          <w:sz w:val="32"/>
          <w:szCs w:val="32"/>
        </w:rPr>
        <w:t>社会信用体系建设稳步推进；</w:t>
      </w:r>
      <w:r>
        <w:rPr>
          <w:rFonts w:eastAsia="仿宋"/>
          <w:sz w:val="32"/>
          <w:szCs w:val="32"/>
        </w:rPr>
        <w:t>涉案物价格</w:t>
      </w:r>
      <w:r>
        <w:rPr>
          <w:rFonts w:hint="eastAsia" w:eastAsia="仿宋"/>
          <w:sz w:val="32"/>
          <w:szCs w:val="32"/>
        </w:rPr>
        <w:t>认定</w:t>
      </w:r>
      <w:r>
        <w:rPr>
          <w:rFonts w:eastAsia="仿宋"/>
          <w:sz w:val="32"/>
          <w:szCs w:val="32"/>
        </w:rPr>
        <w:t>无误高效；上级交办任务及单位职能高效落实。</w:t>
      </w:r>
    </w:p>
    <w:p>
      <w:pPr>
        <w:pStyle w:val="7"/>
        <w:keepNext w:val="0"/>
        <w:keepLines w:val="0"/>
        <w:pageBreakBefore w:val="0"/>
        <w:widowControl w:val="0"/>
        <w:kinsoku/>
        <w:wordWrap/>
        <w:overflowPunct/>
        <w:topLinePunct w:val="0"/>
        <w:bidi w:val="0"/>
        <w:spacing w:line="580" w:lineRule="exact"/>
        <w:ind w:left="0" w:firstLine="640" w:firstLineChars="200"/>
        <w:jc w:val="both"/>
        <w:textAlignment w:val="auto"/>
        <w:rPr>
          <w:rFonts w:ascii="Times New Roman" w:hAnsi="Times New Roman" w:eastAsia="黑体"/>
          <w:sz w:val="32"/>
          <w:szCs w:val="32"/>
        </w:rPr>
      </w:pPr>
      <w:r>
        <w:rPr>
          <w:rFonts w:ascii="Times New Roman" w:hAnsi="Times New Roman" w:eastAsia="黑体"/>
          <w:sz w:val="32"/>
          <w:szCs w:val="32"/>
        </w:rPr>
        <w:t>二、一般公共预算支出情况</w:t>
      </w:r>
    </w:p>
    <w:p>
      <w:pPr>
        <w:keepNext w:val="0"/>
        <w:keepLines w:val="0"/>
        <w:pageBreakBefore w:val="0"/>
        <w:widowControl w:val="0"/>
        <w:kinsoku/>
        <w:wordWrap/>
        <w:overflowPunct/>
        <w:topLinePunct w:val="0"/>
        <w:bidi w:val="0"/>
        <w:spacing w:line="580" w:lineRule="exact"/>
        <w:ind w:left="0" w:firstLine="640" w:firstLineChars="200"/>
        <w:jc w:val="both"/>
        <w:textAlignment w:val="auto"/>
        <w:rPr>
          <w:rFonts w:ascii="楷体" w:hAnsi="楷体" w:eastAsia="楷体"/>
          <w:sz w:val="32"/>
          <w:szCs w:val="32"/>
        </w:rPr>
      </w:pPr>
      <w:r>
        <w:rPr>
          <w:rFonts w:ascii="楷体" w:hAnsi="楷体" w:eastAsia="楷体"/>
          <w:sz w:val="32"/>
          <w:szCs w:val="32"/>
        </w:rPr>
        <w:t>（一）基本支出情况</w:t>
      </w:r>
    </w:p>
    <w:p>
      <w:pPr>
        <w:pStyle w:val="7"/>
        <w:keepNext w:val="0"/>
        <w:keepLines w:val="0"/>
        <w:pageBreakBefore w:val="0"/>
        <w:widowControl w:val="0"/>
        <w:kinsoku/>
        <w:wordWrap/>
        <w:overflowPunct/>
        <w:topLinePunct w:val="0"/>
        <w:bidi w:val="0"/>
        <w:spacing w:line="580" w:lineRule="exact"/>
        <w:ind w:left="0" w:firstLine="640" w:firstLineChars="200"/>
        <w:jc w:val="both"/>
        <w:textAlignment w:val="auto"/>
        <w:rPr>
          <w:rFonts w:ascii="Times New Roman" w:hAnsi="Times New Roman" w:eastAsia="仿宋"/>
          <w:color w:val="000000"/>
          <w:sz w:val="32"/>
          <w:szCs w:val="32"/>
        </w:rPr>
      </w:pPr>
      <w:r>
        <w:rPr>
          <w:rFonts w:ascii="Times New Roman" w:hAnsi="Times New Roman" w:eastAsia="楷体_GB2312"/>
          <w:sz w:val="32"/>
          <w:szCs w:val="32"/>
        </w:rPr>
        <w:t>1</w:t>
      </w:r>
      <w:r>
        <w:rPr>
          <w:rFonts w:hint="eastAsia" w:ascii="Times New Roman" w:hAnsi="Times New Roman" w:eastAsia="楷体_GB2312"/>
          <w:sz w:val="32"/>
          <w:szCs w:val="32"/>
        </w:rPr>
        <w:t xml:space="preserve">. </w:t>
      </w:r>
      <w:r>
        <w:rPr>
          <w:rFonts w:ascii="Times New Roman" w:hAnsi="Times New Roman" w:eastAsia="仿宋"/>
          <w:color w:val="000000"/>
          <w:sz w:val="32"/>
          <w:szCs w:val="32"/>
        </w:rPr>
        <w:t>2021年预算资金543.34万元。</w:t>
      </w:r>
    </w:p>
    <w:p>
      <w:pPr>
        <w:pStyle w:val="7"/>
        <w:keepNext w:val="0"/>
        <w:keepLines w:val="0"/>
        <w:pageBreakBefore w:val="0"/>
        <w:widowControl w:val="0"/>
        <w:kinsoku/>
        <w:wordWrap/>
        <w:overflowPunct/>
        <w:topLinePunct w:val="0"/>
        <w:bidi w:val="0"/>
        <w:spacing w:line="580" w:lineRule="exact"/>
        <w:ind w:left="0" w:firstLine="640" w:firstLineChars="200"/>
        <w:jc w:val="both"/>
        <w:textAlignment w:val="auto"/>
        <w:rPr>
          <w:rFonts w:ascii="Times New Roman" w:hAnsi="Times New Roman" w:eastAsia="仿宋"/>
          <w:sz w:val="32"/>
          <w:szCs w:val="32"/>
        </w:rPr>
      </w:pPr>
      <w:r>
        <w:rPr>
          <w:rFonts w:ascii="Times New Roman" w:hAnsi="Times New Roman" w:eastAsia="仿宋"/>
          <w:sz w:val="32"/>
          <w:szCs w:val="32"/>
        </w:rPr>
        <w:t>2</w:t>
      </w:r>
      <w:r>
        <w:rPr>
          <w:rFonts w:hint="eastAsia" w:ascii="Times New Roman" w:hAnsi="Times New Roman" w:eastAsia="仿宋"/>
          <w:sz w:val="32"/>
          <w:szCs w:val="32"/>
        </w:rPr>
        <w:t xml:space="preserve">. </w:t>
      </w:r>
      <w:r>
        <w:rPr>
          <w:rFonts w:ascii="Times New Roman" w:hAnsi="Times New Roman" w:eastAsia="仿宋"/>
          <w:sz w:val="32"/>
          <w:szCs w:val="32"/>
        </w:rPr>
        <w:t>2021年度单位一般公共预算财政拨款收入770.57万元。</w:t>
      </w:r>
    </w:p>
    <w:p>
      <w:pPr>
        <w:pStyle w:val="7"/>
        <w:keepNext w:val="0"/>
        <w:keepLines w:val="0"/>
        <w:pageBreakBefore w:val="0"/>
        <w:widowControl w:val="0"/>
        <w:kinsoku/>
        <w:wordWrap/>
        <w:overflowPunct/>
        <w:topLinePunct w:val="0"/>
        <w:bidi w:val="0"/>
        <w:spacing w:line="580" w:lineRule="exact"/>
        <w:ind w:left="0" w:firstLine="640" w:firstLineChars="200"/>
        <w:jc w:val="both"/>
        <w:textAlignment w:val="auto"/>
        <w:rPr>
          <w:rFonts w:ascii="Times New Roman" w:hAnsi="Times New Roman" w:eastAsia="仿宋"/>
          <w:sz w:val="32"/>
          <w:szCs w:val="32"/>
        </w:rPr>
      </w:pPr>
      <w:r>
        <w:rPr>
          <w:rFonts w:ascii="Times New Roman" w:hAnsi="Times New Roman" w:eastAsia="仿宋"/>
          <w:sz w:val="32"/>
          <w:szCs w:val="32"/>
        </w:rPr>
        <w:t>3.</w:t>
      </w:r>
      <w:r>
        <w:rPr>
          <w:rFonts w:hint="eastAsia" w:ascii="Times New Roman" w:hAnsi="Times New Roman" w:eastAsia="仿宋"/>
          <w:sz w:val="32"/>
          <w:szCs w:val="32"/>
        </w:rPr>
        <w:t xml:space="preserve"> </w:t>
      </w:r>
      <w:r>
        <w:rPr>
          <w:rFonts w:ascii="Times New Roman" w:hAnsi="Times New Roman" w:eastAsia="仿宋"/>
          <w:sz w:val="32"/>
          <w:szCs w:val="32"/>
        </w:rPr>
        <w:t>2021年度单位一般公共预算财政拨款支出770.57万元。</w:t>
      </w:r>
    </w:p>
    <w:p>
      <w:pPr>
        <w:pStyle w:val="7"/>
        <w:keepNext w:val="0"/>
        <w:keepLines w:val="0"/>
        <w:pageBreakBefore w:val="0"/>
        <w:widowControl w:val="0"/>
        <w:kinsoku/>
        <w:wordWrap/>
        <w:overflowPunct/>
        <w:topLinePunct w:val="0"/>
        <w:bidi w:val="0"/>
        <w:spacing w:line="580" w:lineRule="exact"/>
        <w:ind w:left="0" w:firstLine="640" w:firstLineChars="200"/>
        <w:jc w:val="both"/>
        <w:textAlignment w:val="auto"/>
        <w:rPr>
          <w:rFonts w:ascii="Times New Roman" w:hAnsi="Times New Roman" w:eastAsia="仿宋"/>
          <w:b/>
          <w:bCs/>
          <w:sz w:val="32"/>
          <w:szCs w:val="32"/>
        </w:rPr>
      </w:pPr>
      <w:r>
        <w:rPr>
          <w:rFonts w:ascii="Times New Roman" w:hAnsi="Times New Roman" w:eastAsia="仿宋"/>
          <w:sz w:val="32"/>
          <w:szCs w:val="32"/>
        </w:rPr>
        <w:t>其中：项目支出499.97万元，基本支出270.59万元，其中：人员经费229.90万元，公用经费40.70万元。</w:t>
      </w:r>
    </w:p>
    <w:p>
      <w:pPr>
        <w:pStyle w:val="7"/>
        <w:keepNext w:val="0"/>
        <w:keepLines w:val="0"/>
        <w:pageBreakBefore w:val="0"/>
        <w:widowControl w:val="0"/>
        <w:kinsoku/>
        <w:wordWrap/>
        <w:overflowPunct/>
        <w:topLinePunct w:val="0"/>
        <w:bidi w:val="0"/>
        <w:spacing w:line="580" w:lineRule="exact"/>
        <w:ind w:left="0" w:firstLine="640" w:firstLineChars="200"/>
        <w:jc w:val="both"/>
        <w:textAlignment w:val="auto"/>
        <w:rPr>
          <w:rFonts w:ascii="楷体" w:hAnsi="楷体" w:eastAsia="楷体"/>
          <w:sz w:val="32"/>
          <w:szCs w:val="32"/>
        </w:rPr>
      </w:pPr>
      <w:r>
        <w:rPr>
          <w:rFonts w:hint="eastAsia" w:ascii="楷体" w:hAnsi="楷体" w:eastAsia="楷体"/>
          <w:sz w:val="32"/>
          <w:szCs w:val="32"/>
        </w:rPr>
        <w:t>（二）</w:t>
      </w:r>
      <w:r>
        <w:rPr>
          <w:rFonts w:ascii="楷体" w:hAnsi="楷体" w:eastAsia="楷体"/>
          <w:sz w:val="32"/>
          <w:szCs w:val="32"/>
        </w:rPr>
        <w:t>项目支出情况</w:t>
      </w:r>
    </w:p>
    <w:p>
      <w:pPr>
        <w:pStyle w:val="7"/>
        <w:keepNext w:val="0"/>
        <w:keepLines w:val="0"/>
        <w:pageBreakBefore w:val="0"/>
        <w:widowControl w:val="0"/>
        <w:kinsoku/>
        <w:wordWrap/>
        <w:overflowPunct/>
        <w:topLinePunct w:val="0"/>
        <w:bidi w:val="0"/>
        <w:spacing w:line="580" w:lineRule="exact"/>
        <w:ind w:left="0" w:firstLine="640" w:firstLineChars="200"/>
        <w:jc w:val="both"/>
        <w:textAlignment w:val="auto"/>
        <w:rPr>
          <w:rFonts w:ascii="Times New Roman" w:hAnsi="Times New Roman" w:eastAsia="仿宋"/>
          <w:sz w:val="32"/>
          <w:szCs w:val="32"/>
        </w:rPr>
      </w:pPr>
      <w:r>
        <w:rPr>
          <w:rFonts w:hint="eastAsia" w:ascii="Times New Roman" w:hAnsi="Times New Roman" w:eastAsia="仿宋"/>
          <w:sz w:val="32"/>
          <w:szCs w:val="32"/>
        </w:rPr>
        <w:t>全年项目支出499.97万元。明细如下：</w:t>
      </w:r>
      <w:r>
        <w:rPr>
          <w:rFonts w:ascii="Times New Roman" w:hAnsi="Times New Roman" w:eastAsia="仿宋"/>
          <w:sz w:val="32"/>
          <w:szCs w:val="32"/>
        </w:rPr>
        <w:t>1</w:t>
      </w:r>
      <w:r>
        <w:rPr>
          <w:rFonts w:hint="eastAsia" w:ascii="Times New Roman" w:hAnsi="Times New Roman" w:eastAsia="仿宋"/>
          <w:sz w:val="32"/>
          <w:szCs w:val="32"/>
        </w:rPr>
        <w:t xml:space="preserve">. </w:t>
      </w:r>
      <w:r>
        <w:rPr>
          <w:rFonts w:ascii="Times New Roman" w:hAnsi="Times New Roman" w:eastAsia="仿宋"/>
          <w:sz w:val="32"/>
          <w:szCs w:val="32"/>
        </w:rPr>
        <w:t>产业项目建设年奖金8.60万元；2</w:t>
      </w:r>
      <w:r>
        <w:rPr>
          <w:rFonts w:hint="eastAsia" w:ascii="Times New Roman" w:hAnsi="Times New Roman" w:eastAsia="仿宋"/>
          <w:sz w:val="32"/>
          <w:szCs w:val="32"/>
        </w:rPr>
        <w:t xml:space="preserve">. </w:t>
      </w:r>
      <w:r>
        <w:rPr>
          <w:rFonts w:ascii="Times New Roman" w:hAnsi="Times New Roman" w:eastAsia="仿宋"/>
          <w:sz w:val="32"/>
          <w:szCs w:val="32"/>
        </w:rPr>
        <w:t>发改综合业务经费</w:t>
      </w:r>
      <w:r>
        <w:rPr>
          <w:rFonts w:hint="eastAsia" w:ascii="Times New Roman" w:hAnsi="Times New Roman" w:eastAsia="仿宋"/>
          <w:sz w:val="32"/>
          <w:szCs w:val="32"/>
        </w:rPr>
        <w:t>61.</w:t>
      </w:r>
      <w:r>
        <w:rPr>
          <w:rFonts w:ascii="Times New Roman" w:hAnsi="Times New Roman" w:eastAsia="仿宋"/>
          <w:sz w:val="32"/>
          <w:szCs w:val="32"/>
        </w:rPr>
        <w:t>95万元；</w:t>
      </w:r>
      <w:r>
        <w:rPr>
          <w:rFonts w:hint="eastAsia" w:ascii="Times New Roman" w:hAnsi="Times New Roman" w:eastAsia="仿宋"/>
          <w:sz w:val="32"/>
          <w:szCs w:val="32"/>
        </w:rPr>
        <w:t>3.</w:t>
      </w:r>
      <w:r>
        <w:rPr>
          <w:rFonts w:ascii="Times New Roman" w:hAnsi="Times New Roman" w:eastAsia="仿宋"/>
          <w:sz w:val="32"/>
          <w:szCs w:val="32"/>
        </w:rPr>
        <w:t>规划编制与实施工作经费</w:t>
      </w:r>
      <w:r>
        <w:rPr>
          <w:rFonts w:hint="eastAsia" w:ascii="Times New Roman" w:hAnsi="Times New Roman" w:eastAsia="仿宋"/>
          <w:sz w:val="32"/>
          <w:szCs w:val="32"/>
        </w:rPr>
        <w:t xml:space="preserve">15.0万元；4. </w:t>
      </w:r>
      <w:r>
        <w:rPr>
          <w:rFonts w:ascii="Times New Roman" w:hAnsi="Times New Roman" w:eastAsia="仿宋"/>
          <w:sz w:val="32"/>
          <w:szCs w:val="32"/>
        </w:rPr>
        <w:t>社会信用体系建设工作经费15.47万元；</w:t>
      </w:r>
      <w:r>
        <w:rPr>
          <w:rFonts w:hint="eastAsia" w:ascii="Times New Roman" w:hAnsi="Times New Roman" w:eastAsia="仿宋"/>
          <w:sz w:val="32"/>
          <w:szCs w:val="32"/>
        </w:rPr>
        <w:t xml:space="preserve">5. </w:t>
      </w:r>
      <w:r>
        <w:rPr>
          <w:rFonts w:ascii="Times New Roman" w:hAnsi="Times New Roman" w:eastAsia="仿宋"/>
          <w:sz w:val="32"/>
          <w:szCs w:val="32"/>
        </w:rPr>
        <w:t>上级经费376.2万元；</w:t>
      </w:r>
      <w:r>
        <w:rPr>
          <w:rFonts w:hint="eastAsia" w:ascii="Times New Roman" w:hAnsi="Times New Roman" w:eastAsia="仿宋"/>
          <w:sz w:val="32"/>
          <w:szCs w:val="32"/>
        </w:rPr>
        <w:t xml:space="preserve">6. </w:t>
      </w:r>
      <w:r>
        <w:rPr>
          <w:rFonts w:ascii="Times New Roman" w:hAnsi="Times New Roman" w:eastAsia="仿宋"/>
          <w:sz w:val="32"/>
          <w:szCs w:val="32"/>
        </w:rPr>
        <w:t>安全生产0.3万元；</w:t>
      </w:r>
      <w:r>
        <w:rPr>
          <w:rFonts w:hint="eastAsia" w:ascii="Times New Roman" w:hAnsi="Times New Roman" w:eastAsia="仿宋"/>
          <w:sz w:val="32"/>
          <w:szCs w:val="32"/>
        </w:rPr>
        <w:t xml:space="preserve">7. </w:t>
      </w:r>
      <w:r>
        <w:rPr>
          <w:rFonts w:ascii="Times New Roman" w:hAnsi="Times New Roman" w:eastAsia="仿宋"/>
          <w:sz w:val="32"/>
          <w:szCs w:val="32"/>
        </w:rPr>
        <w:t>成本监审经费8万元；</w:t>
      </w:r>
      <w:r>
        <w:rPr>
          <w:rFonts w:hint="eastAsia" w:ascii="Times New Roman" w:hAnsi="Times New Roman" w:eastAsia="仿宋"/>
          <w:sz w:val="32"/>
          <w:szCs w:val="32"/>
        </w:rPr>
        <w:t xml:space="preserve">8. </w:t>
      </w:r>
      <w:r>
        <w:rPr>
          <w:rFonts w:ascii="Times New Roman" w:hAnsi="Times New Roman" w:eastAsia="仿宋"/>
          <w:sz w:val="32"/>
          <w:szCs w:val="32"/>
        </w:rPr>
        <w:t>项目储备7.65万元；</w:t>
      </w:r>
      <w:r>
        <w:rPr>
          <w:rFonts w:hint="eastAsia" w:ascii="Times New Roman" w:hAnsi="Times New Roman" w:eastAsia="仿宋"/>
          <w:sz w:val="32"/>
          <w:szCs w:val="32"/>
        </w:rPr>
        <w:t xml:space="preserve">9. </w:t>
      </w:r>
      <w:r>
        <w:rPr>
          <w:rFonts w:ascii="Times New Roman" w:hAnsi="Times New Roman" w:eastAsia="仿宋"/>
          <w:sz w:val="32"/>
          <w:szCs w:val="32"/>
        </w:rPr>
        <w:t>小升规经费5.1万元；</w:t>
      </w:r>
      <w:r>
        <w:rPr>
          <w:rFonts w:hint="eastAsia" w:ascii="Times New Roman" w:hAnsi="Times New Roman" w:eastAsia="仿宋"/>
          <w:sz w:val="32"/>
          <w:szCs w:val="32"/>
        </w:rPr>
        <w:t xml:space="preserve">10. </w:t>
      </w:r>
      <w:r>
        <w:rPr>
          <w:rFonts w:ascii="Times New Roman" w:hAnsi="Times New Roman" w:eastAsia="仿宋"/>
          <w:sz w:val="32"/>
          <w:szCs w:val="32"/>
        </w:rPr>
        <w:t>疫情防疫经费1.7万元</w:t>
      </w:r>
      <w:r>
        <w:rPr>
          <w:rFonts w:hint="eastAsia" w:ascii="Times New Roman" w:hAnsi="Times New Roman" w:eastAsia="仿宋"/>
          <w:sz w:val="32"/>
          <w:szCs w:val="32"/>
        </w:rPr>
        <w:t>。</w:t>
      </w:r>
    </w:p>
    <w:p>
      <w:pPr>
        <w:pStyle w:val="7"/>
        <w:keepNext w:val="0"/>
        <w:keepLines w:val="0"/>
        <w:pageBreakBefore w:val="0"/>
        <w:widowControl w:val="0"/>
        <w:numPr>
          <w:ilvl w:val="0"/>
          <w:numId w:val="1"/>
        </w:numPr>
        <w:kinsoku/>
        <w:wordWrap/>
        <w:overflowPunct/>
        <w:topLinePunct w:val="0"/>
        <w:bidi w:val="0"/>
        <w:spacing w:line="580" w:lineRule="exact"/>
        <w:ind w:left="0" w:firstLine="640" w:firstLineChars="200"/>
        <w:jc w:val="both"/>
        <w:textAlignment w:val="auto"/>
        <w:rPr>
          <w:rFonts w:ascii="Times New Roman" w:hAnsi="Times New Roman" w:eastAsia="黑体"/>
          <w:sz w:val="32"/>
          <w:szCs w:val="32"/>
        </w:rPr>
      </w:pPr>
      <w:r>
        <w:rPr>
          <w:rFonts w:ascii="Times New Roman" w:hAnsi="Times New Roman" w:eastAsia="黑体"/>
          <w:sz w:val="32"/>
          <w:szCs w:val="32"/>
        </w:rPr>
        <w:t>政府性基金预算支出情况</w:t>
      </w:r>
    </w:p>
    <w:p>
      <w:pPr>
        <w:pStyle w:val="8"/>
        <w:keepNext w:val="0"/>
        <w:keepLines w:val="0"/>
        <w:pageBreakBefore w:val="0"/>
        <w:widowControl w:val="0"/>
        <w:kinsoku/>
        <w:wordWrap/>
        <w:overflowPunct/>
        <w:topLinePunct w:val="0"/>
        <w:bidi w:val="0"/>
        <w:snapToGrid w:val="0"/>
        <w:spacing w:line="580" w:lineRule="exact"/>
        <w:ind w:left="0" w:firstLine="640" w:firstLineChars="200"/>
        <w:jc w:val="both"/>
        <w:textAlignment w:val="auto"/>
        <w:rPr>
          <w:rFonts w:ascii="Times New Roman" w:hAnsi="Times New Roman" w:eastAsia="仿宋" w:cs="Times New Roman"/>
          <w:color w:val="auto"/>
          <w:kern w:val="2"/>
          <w:sz w:val="32"/>
          <w:szCs w:val="32"/>
        </w:rPr>
      </w:pPr>
      <w:r>
        <w:rPr>
          <w:rFonts w:ascii="Times New Roman" w:hAnsi="Times New Roman" w:eastAsia="仿宋" w:cs="Times New Roman"/>
          <w:color w:val="auto"/>
          <w:kern w:val="2"/>
          <w:sz w:val="32"/>
          <w:szCs w:val="32"/>
        </w:rPr>
        <w:t>2021年度政府性基金预算财政拨款收入5.0万元；年初结转和结余0万元；支出5.0万元，其中基本支出0万元，项目支出5.0万元（区现代服务业专项规划工作经费）；年末结转和结余0万元。</w:t>
      </w:r>
    </w:p>
    <w:p>
      <w:pPr>
        <w:pStyle w:val="7"/>
        <w:keepNext w:val="0"/>
        <w:keepLines w:val="0"/>
        <w:pageBreakBefore w:val="0"/>
        <w:widowControl w:val="0"/>
        <w:numPr>
          <w:ilvl w:val="0"/>
          <w:numId w:val="1"/>
        </w:numPr>
        <w:kinsoku/>
        <w:wordWrap/>
        <w:overflowPunct/>
        <w:topLinePunct w:val="0"/>
        <w:bidi w:val="0"/>
        <w:spacing w:line="580" w:lineRule="exact"/>
        <w:ind w:left="0" w:firstLine="640" w:firstLineChars="200"/>
        <w:jc w:val="both"/>
        <w:textAlignment w:val="auto"/>
        <w:rPr>
          <w:rFonts w:ascii="Times New Roman" w:hAnsi="Times New Roman" w:eastAsia="黑体"/>
          <w:sz w:val="32"/>
          <w:szCs w:val="32"/>
        </w:rPr>
      </w:pPr>
      <w:r>
        <w:rPr>
          <w:rFonts w:ascii="Times New Roman" w:hAnsi="Times New Roman" w:eastAsia="黑体"/>
          <w:sz w:val="32"/>
          <w:szCs w:val="32"/>
        </w:rPr>
        <w:t>国有资本经营预算支出情况</w:t>
      </w:r>
    </w:p>
    <w:p>
      <w:pPr>
        <w:pStyle w:val="7"/>
        <w:keepNext w:val="0"/>
        <w:keepLines w:val="0"/>
        <w:pageBreakBefore w:val="0"/>
        <w:widowControl w:val="0"/>
        <w:kinsoku/>
        <w:wordWrap/>
        <w:overflowPunct/>
        <w:topLinePunct w:val="0"/>
        <w:bidi w:val="0"/>
        <w:spacing w:line="580" w:lineRule="exact"/>
        <w:ind w:left="0" w:firstLine="640" w:firstLineChars="200"/>
        <w:jc w:val="both"/>
        <w:textAlignment w:val="auto"/>
        <w:rPr>
          <w:rFonts w:ascii="Times New Roman" w:hAnsi="Times New Roman" w:eastAsia="仿宋"/>
          <w:sz w:val="32"/>
          <w:szCs w:val="32"/>
        </w:rPr>
      </w:pPr>
      <w:r>
        <w:rPr>
          <w:rFonts w:ascii="Times New Roman" w:hAnsi="Times New Roman" w:eastAsia="仿宋"/>
          <w:sz w:val="32"/>
          <w:szCs w:val="32"/>
        </w:rPr>
        <w:t>无</w:t>
      </w:r>
      <w:r>
        <w:rPr>
          <w:rFonts w:hint="eastAsia" w:ascii="Times New Roman" w:hAnsi="Times New Roman" w:eastAsia="仿宋"/>
          <w:sz w:val="32"/>
          <w:szCs w:val="32"/>
        </w:rPr>
        <w:t>。</w:t>
      </w:r>
    </w:p>
    <w:p>
      <w:pPr>
        <w:pStyle w:val="7"/>
        <w:keepNext w:val="0"/>
        <w:keepLines w:val="0"/>
        <w:pageBreakBefore w:val="0"/>
        <w:widowControl w:val="0"/>
        <w:numPr>
          <w:ilvl w:val="0"/>
          <w:numId w:val="2"/>
        </w:numPr>
        <w:kinsoku/>
        <w:wordWrap/>
        <w:overflowPunct/>
        <w:topLinePunct w:val="0"/>
        <w:bidi w:val="0"/>
        <w:spacing w:line="580" w:lineRule="exact"/>
        <w:ind w:left="0" w:firstLine="640" w:firstLineChars="200"/>
        <w:jc w:val="both"/>
        <w:textAlignment w:val="auto"/>
        <w:rPr>
          <w:rFonts w:ascii="Times New Roman" w:hAnsi="Times New Roman" w:eastAsia="黑体"/>
          <w:sz w:val="32"/>
          <w:szCs w:val="32"/>
        </w:rPr>
      </w:pPr>
      <w:r>
        <w:rPr>
          <w:rFonts w:ascii="Times New Roman" w:hAnsi="Times New Roman" w:eastAsia="黑体"/>
          <w:sz w:val="32"/>
          <w:szCs w:val="32"/>
        </w:rPr>
        <w:t>社会保险基金预算支出情况</w:t>
      </w:r>
    </w:p>
    <w:p>
      <w:pPr>
        <w:keepNext w:val="0"/>
        <w:keepLines w:val="0"/>
        <w:pageBreakBefore w:val="0"/>
        <w:widowControl w:val="0"/>
        <w:kinsoku/>
        <w:wordWrap/>
        <w:overflowPunct/>
        <w:topLinePunct w:val="0"/>
        <w:bidi w:val="0"/>
        <w:spacing w:line="580" w:lineRule="exact"/>
        <w:ind w:left="0" w:firstLine="640" w:firstLineChars="200"/>
        <w:jc w:val="both"/>
        <w:textAlignment w:val="auto"/>
        <w:rPr>
          <w:rFonts w:eastAsia="仿宋"/>
          <w:sz w:val="32"/>
          <w:szCs w:val="32"/>
        </w:rPr>
      </w:pPr>
      <w:r>
        <w:rPr>
          <w:rFonts w:eastAsia="仿宋"/>
          <w:sz w:val="32"/>
          <w:szCs w:val="32"/>
        </w:rPr>
        <w:t>无</w:t>
      </w:r>
      <w:r>
        <w:rPr>
          <w:rFonts w:hint="eastAsia" w:eastAsia="仿宋"/>
          <w:sz w:val="32"/>
          <w:szCs w:val="32"/>
        </w:rPr>
        <w:t>。</w:t>
      </w:r>
    </w:p>
    <w:p>
      <w:pPr>
        <w:keepNext w:val="0"/>
        <w:keepLines w:val="0"/>
        <w:pageBreakBefore w:val="0"/>
        <w:widowControl w:val="0"/>
        <w:kinsoku/>
        <w:wordWrap/>
        <w:overflowPunct/>
        <w:topLinePunct w:val="0"/>
        <w:bidi w:val="0"/>
        <w:spacing w:line="580" w:lineRule="exact"/>
        <w:ind w:left="0" w:firstLine="640" w:firstLineChars="200"/>
        <w:jc w:val="both"/>
        <w:textAlignment w:val="auto"/>
        <w:rPr>
          <w:rFonts w:eastAsia="黑体"/>
          <w:sz w:val="32"/>
          <w:szCs w:val="32"/>
        </w:rPr>
      </w:pPr>
      <w:r>
        <w:rPr>
          <w:rFonts w:eastAsia="黑体"/>
          <w:sz w:val="32"/>
          <w:szCs w:val="32"/>
        </w:rPr>
        <w:t>六、资金使用及绩效情况</w:t>
      </w:r>
    </w:p>
    <w:p>
      <w:pPr>
        <w:keepNext w:val="0"/>
        <w:keepLines w:val="0"/>
        <w:pageBreakBefore w:val="0"/>
        <w:widowControl w:val="0"/>
        <w:kinsoku/>
        <w:wordWrap/>
        <w:overflowPunct/>
        <w:topLinePunct w:val="0"/>
        <w:bidi w:val="0"/>
        <w:spacing w:line="580" w:lineRule="exact"/>
        <w:ind w:left="0" w:firstLine="640" w:firstLineChars="200"/>
        <w:jc w:val="both"/>
        <w:textAlignment w:val="auto"/>
        <w:rPr>
          <w:rFonts w:ascii="楷体" w:hAnsi="楷体" w:eastAsia="楷体"/>
          <w:sz w:val="32"/>
          <w:szCs w:val="32"/>
        </w:rPr>
      </w:pPr>
      <w:r>
        <w:rPr>
          <w:rFonts w:ascii="楷体" w:hAnsi="楷体" w:eastAsia="楷体"/>
          <w:sz w:val="32"/>
          <w:szCs w:val="32"/>
        </w:rPr>
        <w:t>(一）部门整体支出绩效情况</w:t>
      </w:r>
    </w:p>
    <w:p>
      <w:pPr>
        <w:keepNext w:val="0"/>
        <w:keepLines w:val="0"/>
        <w:pageBreakBefore w:val="0"/>
        <w:widowControl w:val="0"/>
        <w:kinsoku/>
        <w:wordWrap/>
        <w:overflowPunct/>
        <w:topLinePunct w:val="0"/>
        <w:bidi w:val="0"/>
        <w:adjustRightInd w:val="0"/>
        <w:snapToGrid w:val="0"/>
        <w:spacing w:line="580" w:lineRule="exact"/>
        <w:ind w:left="0" w:firstLine="640" w:firstLineChars="200"/>
        <w:jc w:val="both"/>
        <w:textAlignment w:val="auto"/>
        <w:rPr>
          <w:rFonts w:eastAsia="仿宋"/>
          <w:color w:val="000000"/>
          <w:sz w:val="32"/>
          <w:szCs w:val="32"/>
        </w:rPr>
      </w:pPr>
      <w:r>
        <w:rPr>
          <w:rFonts w:eastAsia="仿宋"/>
          <w:bCs/>
          <w:sz w:val="32"/>
          <w:szCs w:val="32"/>
        </w:rPr>
        <w:t>一是突出参政设谋。</w:t>
      </w:r>
      <w:r>
        <w:rPr>
          <w:rFonts w:eastAsia="仿宋"/>
          <w:kern w:val="0"/>
          <w:sz w:val="32"/>
          <w:szCs w:val="32"/>
          <w:shd w:val="clear" w:color="auto" w:fill="FFFFFF"/>
          <w:lang w:bidi="ar"/>
        </w:rPr>
        <w:t>为确保“十四五”规划开好局、起好步，我们将“十四五”规划《纲要》编制工作摆在首要位置。一方面，积极配合区委办，扎实开展前期调研，精准对接中央、省委、市委规划建议，为区委规划建议的顺利起草提供了强有力支撑。另一方面，《纲要》顺利通过区五届人大六次会议。</w:t>
      </w:r>
      <w:r>
        <w:rPr>
          <w:rStyle w:val="11"/>
          <w:rFonts w:eastAsia="仿宋"/>
          <w:bCs/>
          <w:sz w:val="32"/>
          <w:szCs w:val="32"/>
        </w:rPr>
        <w:t>同时，高质量完成了2021年</w:t>
      </w:r>
      <w:r>
        <w:rPr>
          <w:rFonts w:eastAsia="仿宋"/>
          <w:sz w:val="32"/>
          <w:szCs w:val="32"/>
        </w:rPr>
        <w:t>国民经济计划草案、产业项目建设分析等多篇报告；对湖南省通用航空条例（草案）、湖南省通用机场布局规划（2021-2035年）等系列政策文件提出建议，及时将芦淞发展和改革诉求融入其中。</w:t>
      </w:r>
      <w:r>
        <w:rPr>
          <w:rFonts w:eastAsia="仿宋"/>
          <w:bCs/>
          <w:sz w:val="32"/>
          <w:szCs w:val="32"/>
        </w:rPr>
        <w:t>二是突出产业建设。</w:t>
      </w:r>
      <w:r>
        <w:rPr>
          <w:rFonts w:eastAsia="仿宋"/>
          <w:kern w:val="0"/>
          <w:sz w:val="32"/>
          <w:szCs w:val="32"/>
        </w:rPr>
        <w:t>全面对接省“五个100”、市“五个一批”</w:t>
      </w:r>
      <w:r>
        <w:rPr>
          <w:rFonts w:eastAsia="仿宋"/>
          <w:sz w:val="32"/>
          <w:szCs w:val="32"/>
        </w:rPr>
        <w:t>，瞄准“1813”总体目标，深入实施“产业项目建设年”活动。</w:t>
      </w:r>
      <w:r>
        <w:rPr>
          <w:rFonts w:eastAsia="仿宋"/>
          <w:bCs/>
          <w:sz w:val="32"/>
          <w:szCs w:val="32"/>
        </w:rPr>
        <w:t>三是突出争资引项。</w:t>
      </w:r>
      <w:r>
        <w:rPr>
          <w:rFonts w:eastAsia="仿宋"/>
          <w:sz w:val="32"/>
          <w:szCs w:val="32"/>
        </w:rPr>
        <w:t>坚持把争取上级资金、重大试点等作为抢抓发展机遇的第一要务，全力以赴、千方百计，争创佳绩；召开了专项债项目储备会和业务培训会，建立了发改口径争资争项清单表，做好了中央预算内投资项目进度调度工作。</w:t>
      </w:r>
      <w:r>
        <w:rPr>
          <w:rFonts w:eastAsia="仿宋"/>
          <w:bCs/>
          <w:sz w:val="32"/>
          <w:szCs w:val="32"/>
        </w:rPr>
        <w:t>四是突出改善民生。</w:t>
      </w:r>
      <w:r>
        <w:rPr>
          <w:rFonts w:eastAsia="仿宋"/>
          <w:sz w:val="32"/>
          <w:szCs w:val="32"/>
        </w:rPr>
        <w:t>在项目服务上，进一步深化了项目审批制度改革，全面落实线上立项审批，全力提升立项审批服务的规范化、专业化和优质化；加大与区审计局、区财政局等部门联动，</w:t>
      </w:r>
      <w:r>
        <w:rPr>
          <w:rFonts w:hint="eastAsia" w:eastAsia="仿宋"/>
          <w:sz w:val="32"/>
          <w:szCs w:val="32"/>
        </w:rPr>
        <w:t>开展</w:t>
      </w:r>
      <w:r>
        <w:rPr>
          <w:rFonts w:eastAsia="仿宋"/>
          <w:sz w:val="32"/>
          <w:szCs w:val="32"/>
        </w:rPr>
        <w:t>工程变更审批项目。同时，联合区纪委监委，共同牵头落实好项目招投标专项整治任务。在物价管理上，涉案物</w:t>
      </w:r>
      <w:r>
        <w:rPr>
          <w:rFonts w:hint="eastAsia" w:eastAsia="仿宋"/>
          <w:sz w:val="32"/>
          <w:szCs w:val="32"/>
        </w:rPr>
        <w:t>价格</w:t>
      </w:r>
      <w:r>
        <w:rPr>
          <w:rFonts w:eastAsia="仿宋"/>
          <w:sz w:val="32"/>
          <w:szCs w:val="32"/>
        </w:rPr>
        <w:t>认</w:t>
      </w:r>
      <w:r>
        <w:rPr>
          <w:rFonts w:hint="eastAsia" w:eastAsia="仿宋"/>
          <w:sz w:val="32"/>
          <w:szCs w:val="32"/>
        </w:rPr>
        <w:t>定全年无复议、投诉</w:t>
      </w:r>
      <w:r>
        <w:rPr>
          <w:rFonts w:eastAsia="仿宋"/>
          <w:sz w:val="32"/>
          <w:szCs w:val="32"/>
        </w:rPr>
        <w:t>，开展了中小学收费调研、转供电收费调查等。</w:t>
      </w:r>
      <w:r>
        <w:rPr>
          <w:rStyle w:val="11"/>
          <w:rFonts w:eastAsia="仿宋"/>
          <w:bCs/>
          <w:sz w:val="32"/>
          <w:szCs w:val="32"/>
        </w:rPr>
        <w:t>社会信用体系建设、国防经济动员、安全生产、</w:t>
      </w:r>
      <w:r>
        <w:rPr>
          <w:rFonts w:eastAsia="仿宋"/>
          <w:sz w:val="32"/>
          <w:szCs w:val="32"/>
        </w:rPr>
        <w:t>两型社会建设等工作都有长足进步。</w:t>
      </w:r>
    </w:p>
    <w:p>
      <w:pPr>
        <w:keepNext w:val="0"/>
        <w:keepLines w:val="0"/>
        <w:pageBreakBefore w:val="0"/>
        <w:widowControl w:val="0"/>
        <w:kinsoku/>
        <w:wordWrap/>
        <w:overflowPunct/>
        <w:topLinePunct w:val="0"/>
        <w:bidi w:val="0"/>
        <w:spacing w:line="580" w:lineRule="exact"/>
        <w:ind w:left="0" w:firstLine="640" w:firstLineChars="200"/>
        <w:jc w:val="both"/>
        <w:textAlignment w:val="auto"/>
        <w:rPr>
          <w:rFonts w:ascii="楷体" w:hAnsi="楷体" w:eastAsia="楷体"/>
          <w:sz w:val="32"/>
          <w:szCs w:val="32"/>
        </w:rPr>
      </w:pPr>
      <w:r>
        <w:rPr>
          <w:rFonts w:ascii="楷体" w:hAnsi="楷体" w:eastAsia="楷体"/>
          <w:sz w:val="32"/>
          <w:szCs w:val="32"/>
        </w:rPr>
        <w:t>（二）专项资金支出绩效情况</w:t>
      </w:r>
    </w:p>
    <w:p>
      <w:pPr>
        <w:pStyle w:val="7"/>
        <w:keepNext w:val="0"/>
        <w:keepLines w:val="0"/>
        <w:pageBreakBefore w:val="0"/>
        <w:widowControl w:val="0"/>
        <w:kinsoku/>
        <w:wordWrap/>
        <w:overflowPunct/>
        <w:topLinePunct w:val="0"/>
        <w:bidi w:val="0"/>
        <w:spacing w:line="580" w:lineRule="exact"/>
        <w:ind w:left="0" w:firstLine="640" w:firstLineChars="200"/>
        <w:jc w:val="both"/>
        <w:textAlignment w:val="auto"/>
        <w:rPr>
          <w:rFonts w:ascii="Times New Roman" w:hAnsi="Times New Roman" w:eastAsia="仿宋"/>
          <w:sz w:val="32"/>
          <w:szCs w:val="32"/>
        </w:rPr>
      </w:pPr>
      <w:r>
        <w:rPr>
          <w:rFonts w:ascii="Times New Roman" w:hAnsi="Times New Roman" w:eastAsia="仿宋"/>
          <w:sz w:val="32"/>
          <w:szCs w:val="32"/>
        </w:rPr>
        <w:t>2021年，年初预算安排社会信用体系建设、发改综合业务、规划编制与实施等3个专项资金，预算金额</w:t>
      </w:r>
      <w:r>
        <w:rPr>
          <w:rFonts w:hint="eastAsia" w:ascii="Times New Roman" w:hAnsi="Times New Roman" w:eastAsia="仿宋"/>
          <w:sz w:val="32"/>
          <w:szCs w:val="32"/>
        </w:rPr>
        <w:t xml:space="preserve"> 102.60 </w:t>
      </w:r>
      <w:r>
        <w:rPr>
          <w:rFonts w:ascii="Times New Roman" w:hAnsi="Times New Roman" w:eastAsia="仿宋"/>
          <w:sz w:val="32"/>
          <w:szCs w:val="32"/>
        </w:rPr>
        <w:t>万元，全年实际支出</w:t>
      </w:r>
      <w:r>
        <w:rPr>
          <w:rFonts w:hint="eastAsia" w:ascii="Times New Roman" w:hAnsi="Times New Roman" w:eastAsia="仿宋"/>
          <w:sz w:val="32"/>
          <w:szCs w:val="32"/>
        </w:rPr>
        <w:t>92.42</w:t>
      </w:r>
      <w:r>
        <w:rPr>
          <w:rFonts w:ascii="Times New Roman" w:hAnsi="Times New Roman" w:eastAsia="仿宋"/>
          <w:sz w:val="32"/>
          <w:szCs w:val="32"/>
        </w:rPr>
        <w:t>万元。</w:t>
      </w:r>
    </w:p>
    <w:p>
      <w:pPr>
        <w:pStyle w:val="7"/>
        <w:keepNext w:val="0"/>
        <w:keepLines w:val="0"/>
        <w:pageBreakBefore w:val="0"/>
        <w:widowControl w:val="0"/>
        <w:kinsoku/>
        <w:wordWrap/>
        <w:overflowPunct/>
        <w:topLinePunct w:val="0"/>
        <w:bidi w:val="0"/>
        <w:spacing w:line="580" w:lineRule="exact"/>
        <w:ind w:left="0" w:firstLine="640" w:firstLineChars="200"/>
        <w:jc w:val="both"/>
        <w:textAlignment w:val="auto"/>
        <w:rPr>
          <w:rFonts w:ascii="Times New Roman" w:hAnsi="Times New Roman" w:eastAsia="仿宋"/>
          <w:sz w:val="32"/>
          <w:szCs w:val="32"/>
        </w:rPr>
      </w:pPr>
      <w:r>
        <w:rPr>
          <w:rFonts w:ascii="Times New Roman" w:hAnsi="Times New Roman" w:eastAsia="仿宋"/>
          <w:sz w:val="32"/>
          <w:szCs w:val="32"/>
        </w:rPr>
        <w:t>1. 社会信用体系建设工作经费。项目预算安排27.6万元，实际支出</w:t>
      </w:r>
      <w:r>
        <w:rPr>
          <w:rFonts w:hint="eastAsia" w:ascii="Times New Roman" w:hAnsi="Times New Roman" w:eastAsia="仿宋"/>
          <w:sz w:val="32"/>
          <w:szCs w:val="32"/>
        </w:rPr>
        <w:t>15.47</w:t>
      </w:r>
      <w:r>
        <w:rPr>
          <w:rFonts w:ascii="Times New Roman" w:hAnsi="Times New Roman" w:eastAsia="仿宋"/>
          <w:sz w:val="32"/>
          <w:szCs w:val="32"/>
        </w:rPr>
        <w:t>万元。该项经费主要用于建设运营维护芦淞区信用信息共享平台和信用中国（湖南株洲芦淞）信用门户网站，依法依规披露各类信用主体公共信用信息。项目主要实施及绩效情况如下：</w:t>
      </w:r>
    </w:p>
    <w:p>
      <w:pPr>
        <w:pStyle w:val="7"/>
        <w:keepNext w:val="0"/>
        <w:keepLines w:val="0"/>
        <w:pageBreakBefore w:val="0"/>
        <w:widowControl w:val="0"/>
        <w:kinsoku/>
        <w:wordWrap/>
        <w:overflowPunct/>
        <w:topLinePunct w:val="0"/>
        <w:bidi w:val="0"/>
        <w:spacing w:line="580" w:lineRule="exact"/>
        <w:ind w:left="0" w:firstLine="640" w:firstLineChars="200"/>
        <w:jc w:val="both"/>
        <w:textAlignment w:val="auto"/>
        <w:rPr>
          <w:rFonts w:ascii="Times New Roman" w:hAnsi="Times New Roman" w:eastAsia="仿宋"/>
          <w:sz w:val="32"/>
          <w:szCs w:val="32"/>
        </w:rPr>
      </w:pPr>
      <w:r>
        <w:rPr>
          <w:rFonts w:hint="eastAsia" w:ascii="Times New Roman" w:hAnsi="Times New Roman" w:eastAsia="仿宋"/>
          <w:sz w:val="32"/>
          <w:szCs w:val="32"/>
        </w:rPr>
        <w:t>自2020年10月建成芦淞区社会信用信息平台（信用芦淞网站）至2021年底，全区各相关单位共录入各类信息2987条，其中行政许可信息1376条，录入行政处罚信息726条，红名单信息559条，录入证照信息249条，录入双随机抽查信息18条，录入表彰奖励荣誉信息35条，录入行业信用评价信息24条，努力做到了信用信息“应报尽报、应归尽归、应示尽示”。严格执行信用核查规定，依托信用信息平台，在履行行政许可、财政资金支持、社会保障等工作时，均根据职能需要查询企业的公共信用信息情况，发现被列入失信人名单的，则按程序不予申报。</w:t>
      </w:r>
    </w:p>
    <w:p>
      <w:pPr>
        <w:pStyle w:val="7"/>
        <w:keepNext w:val="0"/>
        <w:keepLines w:val="0"/>
        <w:pageBreakBefore w:val="0"/>
        <w:widowControl w:val="0"/>
        <w:kinsoku/>
        <w:wordWrap/>
        <w:overflowPunct/>
        <w:topLinePunct w:val="0"/>
        <w:bidi w:val="0"/>
        <w:spacing w:line="580" w:lineRule="exact"/>
        <w:ind w:left="0" w:firstLine="640" w:firstLineChars="200"/>
        <w:jc w:val="both"/>
        <w:textAlignment w:val="auto"/>
        <w:rPr>
          <w:rFonts w:ascii="Times New Roman" w:hAnsi="Times New Roman" w:eastAsia="仿宋"/>
          <w:sz w:val="32"/>
          <w:szCs w:val="32"/>
        </w:rPr>
      </w:pPr>
      <w:r>
        <w:rPr>
          <w:rFonts w:ascii="Times New Roman" w:hAnsi="Times New Roman" w:eastAsia="仿宋"/>
          <w:sz w:val="32"/>
          <w:szCs w:val="32"/>
        </w:rPr>
        <w:t>截止2021年底，基本完成了绩效目标及各项绩效指标，预算执行情况好。</w:t>
      </w:r>
    </w:p>
    <w:p>
      <w:pPr>
        <w:pStyle w:val="7"/>
        <w:keepNext w:val="0"/>
        <w:keepLines w:val="0"/>
        <w:pageBreakBefore w:val="0"/>
        <w:widowControl w:val="0"/>
        <w:kinsoku/>
        <w:wordWrap/>
        <w:overflowPunct/>
        <w:topLinePunct w:val="0"/>
        <w:bidi w:val="0"/>
        <w:spacing w:line="580" w:lineRule="exact"/>
        <w:ind w:left="0" w:firstLine="640" w:firstLineChars="200"/>
        <w:jc w:val="both"/>
        <w:textAlignment w:val="auto"/>
        <w:rPr>
          <w:rFonts w:ascii="Times New Roman" w:hAnsi="Times New Roman" w:eastAsia="仿宋"/>
          <w:sz w:val="32"/>
          <w:szCs w:val="32"/>
        </w:rPr>
      </w:pPr>
      <w:r>
        <w:rPr>
          <w:rFonts w:ascii="Times New Roman" w:hAnsi="Times New Roman" w:eastAsia="仿宋"/>
          <w:sz w:val="32"/>
          <w:szCs w:val="32"/>
        </w:rPr>
        <w:t>2. 发改综合业务经费。项目预算安排</w:t>
      </w:r>
      <w:r>
        <w:rPr>
          <w:rFonts w:hint="eastAsia" w:ascii="Times New Roman" w:hAnsi="Times New Roman" w:eastAsia="仿宋"/>
          <w:sz w:val="32"/>
          <w:szCs w:val="32"/>
        </w:rPr>
        <w:t>60</w:t>
      </w:r>
      <w:r>
        <w:rPr>
          <w:rFonts w:ascii="Times New Roman" w:hAnsi="Times New Roman" w:eastAsia="仿宋"/>
          <w:sz w:val="32"/>
          <w:szCs w:val="32"/>
        </w:rPr>
        <w:t xml:space="preserve">万元，实际支出 </w:t>
      </w:r>
      <w:r>
        <w:rPr>
          <w:rFonts w:hint="eastAsia" w:ascii="Times New Roman" w:hAnsi="Times New Roman" w:eastAsia="仿宋"/>
          <w:sz w:val="32"/>
          <w:szCs w:val="32"/>
        </w:rPr>
        <w:t>61.95</w:t>
      </w:r>
      <w:r>
        <w:rPr>
          <w:rFonts w:ascii="Times New Roman" w:hAnsi="Times New Roman" w:eastAsia="仿宋"/>
          <w:sz w:val="32"/>
          <w:szCs w:val="32"/>
        </w:rPr>
        <w:t xml:space="preserve"> 万元</w:t>
      </w:r>
      <w:r>
        <w:rPr>
          <w:rFonts w:hint="eastAsia" w:ascii="Times New Roman" w:hAnsi="Times New Roman" w:eastAsia="仿宋"/>
          <w:sz w:val="32"/>
          <w:szCs w:val="32"/>
        </w:rPr>
        <w:t>（含上年结余指标）</w:t>
      </w:r>
      <w:r>
        <w:rPr>
          <w:rFonts w:ascii="Times New Roman" w:hAnsi="Times New Roman" w:eastAsia="仿宋"/>
          <w:sz w:val="32"/>
          <w:szCs w:val="32"/>
        </w:rPr>
        <w:t>。该项经费主要用于保障</w:t>
      </w:r>
      <w:r>
        <w:rPr>
          <w:rFonts w:hint="eastAsia" w:ascii="Times New Roman" w:hAnsi="Times New Roman" w:eastAsia="仿宋"/>
          <w:sz w:val="32"/>
          <w:szCs w:val="32"/>
        </w:rPr>
        <w:t>规划编制与实施、争资争项、</w:t>
      </w:r>
      <w:r>
        <w:rPr>
          <w:rFonts w:ascii="Times New Roman" w:hAnsi="Times New Roman" w:eastAsia="仿宋"/>
          <w:sz w:val="32"/>
          <w:szCs w:val="32"/>
        </w:rPr>
        <w:t>项目前期、“产业项目攻坚年”活动、节能和新能源、物价、两型建设等工作</w:t>
      </w:r>
      <w:r>
        <w:rPr>
          <w:rFonts w:hint="eastAsia" w:ascii="Times New Roman" w:hAnsi="Times New Roman" w:eastAsia="仿宋"/>
          <w:sz w:val="32"/>
          <w:szCs w:val="32"/>
        </w:rPr>
        <w:t>正常开展</w:t>
      </w:r>
      <w:r>
        <w:rPr>
          <w:rFonts w:ascii="Times New Roman" w:hAnsi="Times New Roman" w:eastAsia="仿宋"/>
          <w:sz w:val="32"/>
          <w:szCs w:val="32"/>
        </w:rPr>
        <w:t>。项目主要实施及绩效情况如下：</w:t>
      </w:r>
    </w:p>
    <w:p>
      <w:pPr>
        <w:pStyle w:val="7"/>
        <w:keepNext w:val="0"/>
        <w:keepLines w:val="0"/>
        <w:pageBreakBefore w:val="0"/>
        <w:widowControl w:val="0"/>
        <w:kinsoku/>
        <w:wordWrap/>
        <w:overflowPunct/>
        <w:topLinePunct w:val="0"/>
        <w:bidi w:val="0"/>
        <w:spacing w:line="580" w:lineRule="exact"/>
        <w:ind w:left="0" w:firstLine="640" w:firstLineChars="200"/>
        <w:jc w:val="both"/>
        <w:textAlignment w:val="auto"/>
        <w:rPr>
          <w:rFonts w:ascii="Times New Roman" w:hAnsi="Times New Roman" w:eastAsia="仿宋"/>
          <w:sz w:val="32"/>
          <w:szCs w:val="32"/>
        </w:rPr>
      </w:pPr>
      <w:r>
        <w:rPr>
          <w:rFonts w:hint="eastAsia" w:ascii="Times New Roman" w:hAnsi="Times New Roman" w:eastAsia="仿宋"/>
          <w:sz w:val="32"/>
          <w:szCs w:val="32"/>
        </w:rPr>
        <w:t>参政设谋方面。为确保“十四五”规划开好局、起好步，将“十四五”规划《纲要》编制工作摆在首要位置。在《纲要》编制过程中，在将区委规划建议成果落实落细之外，多次组织规划对接、多次征求意见，历经30余稿，顺利通过区五届人大六次会议。同时，高质量完成了2021年国民经济计划草案、产业项目建设分析等多篇报告，为区委、区政府制定相关工作决策提供了依据；累计对湖南省通用航空条例（草案）、湖南省通用机场布局规划（2021-2035年）等系列政策文件，提出建议40余条，及时将芦淞发展和改革诉求融入其中。</w:t>
      </w:r>
    </w:p>
    <w:p>
      <w:pPr>
        <w:pStyle w:val="7"/>
        <w:keepNext w:val="0"/>
        <w:keepLines w:val="0"/>
        <w:pageBreakBefore w:val="0"/>
        <w:widowControl w:val="0"/>
        <w:kinsoku/>
        <w:wordWrap/>
        <w:overflowPunct/>
        <w:topLinePunct w:val="0"/>
        <w:bidi w:val="0"/>
        <w:spacing w:line="580" w:lineRule="exact"/>
        <w:ind w:left="0" w:firstLine="640" w:firstLineChars="200"/>
        <w:jc w:val="both"/>
        <w:textAlignment w:val="auto"/>
        <w:rPr>
          <w:rFonts w:ascii="Times New Roman" w:hAnsi="Times New Roman" w:eastAsia="仿宋"/>
          <w:sz w:val="32"/>
          <w:szCs w:val="32"/>
        </w:rPr>
      </w:pPr>
      <w:r>
        <w:rPr>
          <w:rFonts w:hint="eastAsia" w:ascii="Times New Roman" w:hAnsi="Times New Roman" w:eastAsia="仿宋"/>
          <w:sz w:val="32"/>
          <w:szCs w:val="32"/>
        </w:rPr>
        <w:t>产业建设方面。深入实施“产业项目建设年”活动，全年实现重点项目投资127.9亿元；泛航智能制造、木朵服饰智能产业园、株洲市枫溪大道（608所段）下穿改造工程等41个重点项目开工，中国航发南方航空动力产业园、新科研生产园区建设项目（一期）、航空科创园2.1期等43个重点项目竣工，为区域经济高质量发展注入了强劲动能。签约引进项目40个，其中“三类500强”项目4个、5亿元以上项目12个。园区标准厂房开工17万平米、竣工13万平米，动态储备土地336.9亩。</w:t>
      </w:r>
    </w:p>
    <w:p>
      <w:pPr>
        <w:pStyle w:val="7"/>
        <w:keepNext w:val="0"/>
        <w:keepLines w:val="0"/>
        <w:pageBreakBefore w:val="0"/>
        <w:widowControl w:val="0"/>
        <w:kinsoku/>
        <w:wordWrap/>
        <w:overflowPunct/>
        <w:topLinePunct w:val="0"/>
        <w:bidi w:val="0"/>
        <w:spacing w:line="580" w:lineRule="exact"/>
        <w:ind w:left="0" w:firstLine="640" w:firstLineChars="200"/>
        <w:jc w:val="both"/>
        <w:textAlignment w:val="auto"/>
        <w:rPr>
          <w:rFonts w:ascii="Times New Roman" w:hAnsi="Times New Roman" w:eastAsia="仿宋"/>
          <w:sz w:val="32"/>
          <w:szCs w:val="32"/>
        </w:rPr>
      </w:pPr>
      <w:r>
        <w:rPr>
          <w:rFonts w:hint="eastAsia" w:ascii="Times New Roman" w:hAnsi="Times New Roman" w:eastAsia="仿宋"/>
          <w:sz w:val="32"/>
          <w:szCs w:val="32"/>
        </w:rPr>
        <w:t>争资引项方面。召开了专项债项目储备会和业务培训会，建立了发改口径争资争项清单表，做好了中央预算内投资项目进度调度工作。全年经省发改委、省财政厅审核通过的地方专项债储备项目共9个，总投资约30亿元，申报资金需求20.26亿元；争取中央、省预算内资金2839万元，其中中央保障性安居工程配套1534万元、特色产业小镇专项资金500万元、省服务业专项资金110万元、省工业口专项资金45万元、污染治理和节能减碳专项320万元、省“135”工程升级版第三批标准厂房奖补资金285万元、积极应对人口老龄化工程和托育建设专项45万元。</w:t>
      </w:r>
    </w:p>
    <w:p>
      <w:pPr>
        <w:pStyle w:val="7"/>
        <w:keepNext w:val="0"/>
        <w:keepLines w:val="0"/>
        <w:pageBreakBefore w:val="0"/>
        <w:widowControl w:val="0"/>
        <w:kinsoku/>
        <w:wordWrap/>
        <w:overflowPunct/>
        <w:topLinePunct w:val="0"/>
        <w:bidi w:val="0"/>
        <w:spacing w:line="580" w:lineRule="exact"/>
        <w:ind w:left="0" w:firstLine="640" w:firstLineChars="200"/>
        <w:jc w:val="both"/>
        <w:textAlignment w:val="auto"/>
        <w:rPr>
          <w:rFonts w:ascii="Times New Roman" w:hAnsi="Times New Roman" w:eastAsia="仿宋"/>
          <w:sz w:val="32"/>
          <w:szCs w:val="32"/>
        </w:rPr>
      </w:pPr>
      <w:r>
        <w:rPr>
          <w:rFonts w:hint="eastAsia" w:ascii="Times New Roman" w:hAnsi="Times New Roman" w:eastAsia="仿宋"/>
          <w:sz w:val="32"/>
          <w:szCs w:val="32"/>
        </w:rPr>
        <w:t>改善民生方面。在项目服务上，进一步深化了项目审批制度改革，全面落实线上立项审批，全力提升立项审批服务的规范化、专业化和优质化；全年办结项目审批近180个。扎实做好了政府投资项目管理工作，加大与区审计局、区财政局等部门联动，累计完成工程变更审批项目9个，正在进行工程变更项目14个。同时，联合区纪委监委，共同牵头落实好项目招投标专项整治任务。在物价管理上，完成了单体金额高达4000多万元的涉案物评估认证案件，开展了中小学收费调研、转供电收费调查、成本监审等工作。在节能和新能源工作方面。开展了以“节能降碳 绿色发展”为主题的节能宣传周活动、节约型机关创建活动，2021年我区共有21家单位申报创建成为节约型机关。社会信用体系建设、国防经济动员、安全生产、两型社会建设等工作都有长足进步。</w:t>
      </w:r>
    </w:p>
    <w:p>
      <w:pPr>
        <w:pStyle w:val="7"/>
        <w:keepNext w:val="0"/>
        <w:keepLines w:val="0"/>
        <w:pageBreakBefore w:val="0"/>
        <w:widowControl w:val="0"/>
        <w:kinsoku/>
        <w:wordWrap/>
        <w:overflowPunct/>
        <w:topLinePunct w:val="0"/>
        <w:bidi w:val="0"/>
        <w:spacing w:line="580" w:lineRule="exact"/>
        <w:ind w:left="0" w:firstLine="640" w:firstLineChars="200"/>
        <w:jc w:val="both"/>
        <w:textAlignment w:val="auto"/>
        <w:rPr>
          <w:rFonts w:ascii="Times New Roman" w:hAnsi="Times New Roman" w:eastAsia="仿宋"/>
          <w:sz w:val="32"/>
          <w:szCs w:val="32"/>
        </w:rPr>
      </w:pPr>
      <w:r>
        <w:rPr>
          <w:rFonts w:ascii="Times New Roman" w:hAnsi="Times New Roman" w:eastAsia="仿宋"/>
          <w:sz w:val="32"/>
          <w:szCs w:val="32"/>
        </w:rPr>
        <w:t>截止2021年底，基本完成了绩效目标及各项绩效指标，预算执行情况好。</w:t>
      </w:r>
    </w:p>
    <w:p>
      <w:pPr>
        <w:pStyle w:val="7"/>
        <w:keepNext w:val="0"/>
        <w:keepLines w:val="0"/>
        <w:pageBreakBefore w:val="0"/>
        <w:widowControl w:val="0"/>
        <w:kinsoku/>
        <w:wordWrap/>
        <w:overflowPunct/>
        <w:topLinePunct w:val="0"/>
        <w:bidi w:val="0"/>
        <w:spacing w:line="580" w:lineRule="exact"/>
        <w:ind w:left="0" w:firstLine="640" w:firstLineChars="200"/>
        <w:jc w:val="both"/>
        <w:textAlignment w:val="auto"/>
        <w:rPr>
          <w:rFonts w:ascii="Times New Roman" w:hAnsi="Times New Roman" w:eastAsia="仿宋"/>
          <w:sz w:val="32"/>
          <w:szCs w:val="32"/>
        </w:rPr>
      </w:pPr>
      <w:r>
        <w:rPr>
          <w:rFonts w:hint="eastAsia" w:ascii="Times New Roman" w:hAnsi="Times New Roman" w:eastAsia="仿宋"/>
          <w:sz w:val="32"/>
          <w:szCs w:val="32"/>
        </w:rPr>
        <w:t xml:space="preserve">3. </w:t>
      </w:r>
      <w:r>
        <w:rPr>
          <w:rFonts w:ascii="Times New Roman" w:hAnsi="Times New Roman" w:eastAsia="仿宋"/>
          <w:sz w:val="32"/>
          <w:szCs w:val="32"/>
        </w:rPr>
        <w:t xml:space="preserve">规划编制与实施工作经费。项目预算安排 </w:t>
      </w:r>
      <w:r>
        <w:rPr>
          <w:rFonts w:hint="eastAsia" w:ascii="Times New Roman" w:hAnsi="Times New Roman" w:eastAsia="仿宋"/>
          <w:sz w:val="32"/>
          <w:szCs w:val="32"/>
        </w:rPr>
        <w:t>15.00</w:t>
      </w:r>
      <w:r>
        <w:rPr>
          <w:rFonts w:ascii="Times New Roman" w:hAnsi="Times New Roman" w:eastAsia="仿宋"/>
          <w:sz w:val="32"/>
          <w:szCs w:val="32"/>
        </w:rPr>
        <w:t xml:space="preserve"> 万元，实际支出 </w:t>
      </w:r>
      <w:r>
        <w:rPr>
          <w:rFonts w:hint="eastAsia" w:ascii="Times New Roman" w:hAnsi="Times New Roman" w:eastAsia="仿宋"/>
          <w:sz w:val="32"/>
          <w:szCs w:val="32"/>
        </w:rPr>
        <w:t>15.00</w:t>
      </w:r>
      <w:r>
        <w:rPr>
          <w:rFonts w:ascii="Times New Roman" w:hAnsi="Times New Roman" w:eastAsia="仿宋"/>
          <w:sz w:val="32"/>
          <w:szCs w:val="32"/>
        </w:rPr>
        <w:t xml:space="preserve"> 万元，结余 </w:t>
      </w:r>
      <w:r>
        <w:rPr>
          <w:rFonts w:hint="eastAsia" w:ascii="Times New Roman" w:hAnsi="Times New Roman" w:eastAsia="仿宋"/>
          <w:sz w:val="32"/>
          <w:szCs w:val="32"/>
        </w:rPr>
        <w:t>0</w:t>
      </w:r>
      <w:r>
        <w:rPr>
          <w:rFonts w:ascii="Times New Roman" w:hAnsi="Times New Roman" w:eastAsia="仿宋"/>
          <w:sz w:val="32"/>
          <w:szCs w:val="32"/>
        </w:rPr>
        <w:t xml:space="preserve"> 万元。该项经费主要用于保障十四五规划纲要及30个专项规划编制实施、编制2021年国民经济社会发展计划报告草案。项目主要实施及绩效情况如下：</w:t>
      </w:r>
    </w:p>
    <w:p>
      <w:pPr>
        <w:keepNext w:val="0"/>
        <w:keepLines w:val="0"/>
        <w:pageBreakBefore w:val="0"/>
        <w:widowControl w:val="0"/>
        <w:kinsoku/>
        <w:wordWrap/>
        <w:overflowPunct/>
        <w:topLinePunct w:val="0"/>
        <w:bidi w:val="0"/>
        <w:adjustRightInd w:val="0"/>
        <w:snapToGrid w:val="0"/>
        <w:spacing w:line="580" w:lineRule="exact"/>
        <w:ind w:left="0" w:firstLine="640" w:firstLineChars="200"/>
        <w:jc w:val="both"/>
        <w:textAlignment w:val="auto"/>
        <w:rPr>
          <w:rFonts w:eastAsia="仿宋"/>
          <w:sz w:val="32"/>
          <w:szCs w:val="32"/>
        </w:rPr>
      </w:pPr>
      <w:r>
        <w:rPr>
          <w:rFonts w:eastAsia="仿宋"/>
          <w:sz w:val="32"/>
          <w:szCs w:val="32"/>
        </w:rPr>
        <w:t>“十四五”规划纲要编制方面，一方面，积极配合区委办，扎实开展前期调研，精准对接中央、省委、市委规划建议，为区委规划建议的顺利起草提供了强有力支撑；另一方面，针对纲要文本，多次组织规划对接、多次征求意见，历经30余稿，顺利通过区委常委会、区人大常委会、区政府常务会以及区五届人大六次会议，并正式对外发布。同时，充分发挥规划编制牵头作用，着力督促相关部门抓实抓细30个专项规划编制，确保规划纲要真正落实落地。2021年国民经济社会发展计划报告草案编制方面，在广泛收集素材的基础上，主要吸收了省市区党代会、经济工作会议，以及区委务虚会、区委全会等相关会议精神，并对照区政府工作报告、2022年株洲市国民计划报告进行了多次修改完善，最终顺利通过区第六届人民代表大会第二次会议。</w:t>
      </w:r>
    </w:p>
    <w:p>
      <w:pPr>
        <w:pStyle w:val="7"/>
        <w:keepNext w:val="0"/>
        <w:keepLines w:val="0"/>
        <w:pageBreakBefore w:val="0"/>
        <w:widowControl w:val="0"/>
        <w:kinsoku/>
        <w:wordWrap/>
        <w:overflowPunct/>
        <w:topLinePunct w:val="0"/>
        <w:bidi w:val="0"/>
        <w:spacing w:line="580" w:lineRule="exact"/>
        <w:ind w:left="0" w:firstLine="640" w:firstLineChars="200"/>
        <w:jc w:val="both"/>
        <w:textAlignment w:val="auto"/>
        <w:rPr>
          <w:rFonts w:ascii="Times New Roman" w:hAnsi="Times New Roman" w:eastAsia="仿宋"/>
          <w:sz w:val="32"/>
          <w:szCs w:val="32"/>
        </w:rPr>
      </w:pPr>
      <w:r>
        <w:rPr>
          <w:rFonts w:ascii="Times New Roman" w:hAnsi="Times New Roman" w:eastAsia="仿宋"/>
          <w:sz w:val="32"/>
          <w:szCs w:val="32"/>
        </w:rPr>
        <w:t>截止2021年底，基本完成了绩效目标及各项绩效指标，预算执行情况好。</w:t>
      </w:r>
    </w:p>
    <w:p>
      <w:pPr>
        <w:pStyle w:val="7"/>
        <w:keepNext w:val="0"/>
        <w:keepLines w:val="0"/>
        <w:pageBreakBefore w:val="0"/>
        <w:widowControl w:val="0"/>
        <w:kinsoku/>
        <w:wordWrap/>
        <w:overflowPunct/>
        <w:topLinePunct w:val="0"/>
        <w:bidi w:val="0"/>
        <w:spacing w:line="580" w:lineRule="exact"/>
        <w:ind w:left="0" w:firstLine="640" w:firstLineChars="200"/>
        <w:jc w:val="both"/>
        <w:textAlignment w:val="auto"/>
        <w:rPr>
          <w:rFonts w:ascii="Times New Roman" w:hAnsi="Times New Roman" w:eastAsia="黑体"/>
          <w:sz w:val="32"/>
          <w:szCs w:val="32"/>
        </w:rPr>
      </w:pPr>
      <w:r>
        <w:rPr>
          <w:rFonts w:ascii="Times New Roman" w:hAnsi="Times New Roman" w:eastAsia="黑体"/>
          <w:sz w:val="32"/>
          <w:szCs w:val="32"/>
        </w:rPr>
        <w:t>七、存在的问题及原因分析</w:t>
      </w:r>
    </w:p>
    <w:p>
      <w:pPr>
        <w:keepNext w:val="0"/>
        <w:keepLines w:val="0"/>
        <w:pageBreakBefore w:val="0"/>
        <w:widowControl w:val="0"/>
        <w:kinsoku/>
        <w:wordWrap/>
        <w:overflowPunct/>
        <w:topLinePunct w:val="0"/>
        <w:bidi w:val="0"/>
        <w:spacing w:line="580" w:lineRule="exact"/>
        <w:ind w:left="0" w:firstLine="640" w:firstLineChars="200"/>
        <w:jc w:val="both"/>
        <w:textAlignment w:val="auto"/>
        <w:rPr>
          <w:rFonts w:eastAsia="仿宋"/>
          <w:sz w:val="32"/>
          <w:szCs w:val="32"/>
        </w:rPr>
      </w:pPr>
      <w:r>
        <w:rPr>
          <w:rFonts w:hint="eastAsia" w:eastAsia="仿宋"/>
          <w:sz w:val="32"/>
          <w:szCs w:val="32"/>
        </w:rPr>
        <w:t>预算资金绩效管理是一项长期性工作。由于不可预见因素，本单位在预算资金使用上也存在一定的不可预见性。在预算执行过程中存在有开支依据但无预算安排的现象，部门预算、绩效管理工作还有待进一步加强。</w:t>
      </w:r>
    </w:p>
    <w:p>
      <w:pPr>
        <w:keepNext w:val="0"/>
        <w:keepLines w:val="0"/>
        <w:pageBreakBefore w:val="0"/>
        <w:widowControl w:val="0"/>
        <w:kinsoku/>
        <w:wordWrap/>
        <w:overflowPunct/>
        <w:topLinePunct w:val="0"/>
        <w:bidi w:val="0"/>
        <w:spacing w:line="580" w:lineRule="exact"/>
        <w:ind w:left="0" w:firstLine="640" w:firstLineChars="200"/>
        <w:jc w:val="both"/>
        <w:textAlignment w:val="auto"/>
        <w:rPr>
          <w:rFonts w:eastAsia="黑体"/>
          <w:sz w:val="32"/>
          <w:szCs w:val="32"/>
        </w:rPr>
      </w:pPr>
      <w:r>
        <w:rPr>
          <w:rFonts w:eastAsia="黑体"/>
          <w:sz w:val="32"/>
          <w:szCs w:val="32"/>
        </w:rPr>
        <w:t>八、下一步改进措施</w:t>
      </w:r>
    </w:p>
    <w:p>
      <w:pPr>
        <w:keepNext w:val="0"/>
        <w:keepLines w:val="0"/>
        <w:pageBreakBefore w:val="0"/>
        <w:widowControl w:val="0"/>
        <w:kinsoku/>
        <w:wordWrap/>
        <w:overflowPunct/>
        <w:topLinePunct w:val="0"/>
        <w:bidi w:val="0"/>
        <w:spacing w:line="580" w:lineRule="exact"/>
        <w:ind w:left="0" w:firstLine="640" w:firstLineChars="200"/>
        <w:jc w:val="both"/>
        <w:textAlignment w:val="auto"/>
        <w:rPr>
          <w:rFonts w:eastAsia="仿宋"/>
          <w:sz w:val="32"/>
          <w:szCs w:val="32"/>
        </w:rPr>
      </w:pPr>
      <w:r>
        <w:rPr>
          <w:rFonts w:eastAsia="仿宋"/>
          <w:sz w:val="32"/>
          <w:szCs w:val="32"/>
        </w:rPr>
        <w:t>我局将压实部门内部绩效管理主体责任，培养内部人员的预算和绩效管理意识，严格按照预算编制的相关制度和要求，按照单位年度工作重点和计划细化预算编制工作，使预算绩效管理真正落到实处，切实提高绩效管理水平，充分发挥预算资金使用效益。</w:t>
      </w:r>
    </w:p>
    <w:p>
      <w:pPr>
        <w:keepNext w:val="0"/>
        <w:keepLines w:val="0"/>
        <w:pageBreakBefore w:val="0"/>
        <w:widowControl w:val="0"/>
        <w:kinsoku/>
        <w:wordWrap/>
        <w:overflowPunct/>
        <w:topLinePunct w:val="0"/>
        <w:bidi w:val="0"/>
        <w:spacing w:line="580" w:lineRule="exact"/>
        <w:ind w:left="0" w:firstLine="640" w:firstLineChars="200"/>
        <w:jc w:val="both"/>
        <w:textAlignment w:val="auto"/>
        <w:rPr>
          <w:rFonts w:eastAsia="黑体"/>
          <w:sz w:val="32"/>
          <w:szCs w:val="32"/>
        </w:rPr>
      </w:pPr>
      <w:r>
        <w:rPr>
          <w:rFonts w:eastAsia="黑体"/>
          <w:sz w:val="32"/>
          <w:szCs w:val="32"/>
        </w:rPr>
        <w:t>九、绩效自评结果拟应用和公开情况</w:t>
      </w:r>
    </w:p>
    <w:p>
      <w:pPr>
        <w:keepNext w:val="0"/>
        <w:keepLines w:val="0"/>
        <w:pageBreakBefore w:val="0"/>
        <w:widowControl w:val="0"/>
        <w:kinsoku/>
        <w:wordWrap/>
        <w:overflowPunct/>
        <w:topLinePunct w:val="0"/>
        <w:bidi w:val="0"/>
        <w:spacing w:line="580" w:lineRule="exact"/>
        <w:ind w:left="0" w:firstLine="640" w:firstLineChars="200"/>
        <w:jc w:val="both"/>
        <w:textAlignment w:val="auto"/>
        <w:rPr>
          <w:rFonts w:eastAsia="仿宋"/>
          <w:sz w:val="32"/>
          <w:szCs w:val="32"/>
        </w:rPr>
      </w:pPr>
      <w:r>
        <w:rPr>
          <w:rFonts w:hint="eastAsia" w:eastAsia="仿宋"/>
          <w:sz w:val="32"/>
          <w:szCs w:val="32"/>
        </w:rPr>
        <w:t>绩效自评良好。全面公开绩效自评报告，绩效自评结果将在芦淞区门户网站上进行公开，接受社会监督。</w:t>
      </w:r>
    </w:p>
    <w:p>
      <w:pPr>
        <w:keepNext w:val="0"/>
        <w:keepLines w:val="0"/>
        <w:pageBreakBefore w:val="0"/>
        <w:widowControl w:val="0"/>
        <w:kinsoku/>
        <w:wordWrap/>
        <w:overflowPunct/>
        <w:topLinePunct w:val="0"/>
        <w:bidi w:val="0"/>
        <w:spacing w:line="580" w:lineRule="exact"/>
        <w:ind w:left="0" w:firstLine="640" w:firstLineChars="200"/>
        <w:jc w:val="both"/>
        <w:textAlignment w:val="auto"/>
        <w:rPr>
          <w:rFonts w:eastAsia="黑体"/>
          <w:sz w:val="32"/>
          <w:szCs w:val="32"/>
        </w:rPr>
      </w:pPr>
      <w:r>
        <w:rPr>
          <w:rFonts w:eastAsia="黑体"/>
          <w:sz w:val="32"/>
          <w:szCs w:val="32"/>
        </w:rPr>
        <w:t>十、其他需要说明的情况</w:t>
      </w:r>
    </w:p>
    <w:p>
      <w:pPr>
        <w:keepNext w:val="0"/>
        <w:keepLines w:val="0"/>
        <w:pageBreakBefore w:val="0"/>
        <w:widowControl w:val="0"/>
        <w:kinsoku/>
        <w:wordWrap/>
        <w:overflowPunct/>
        <w:topLinePunct w:val="0"/>
        <w:bidi w:val="0"/>
        <w:spacing w:line="580" w:lineRule="exact"/>
        <w:ind w:left="0" w:firstLine="640" w:firstLineChars="200"/>
        <w:jc w:val="both"/>
        <w:textAlignment w:val="auto"/>
      </w:pPr>
      <w:r>
        <w:rPr>
          <w:rFonts w:hint="eastAsia" w:eastAsia="仿宋"/>
          <w:sz w:val="32"/>
          <w:szCs w:val="32"/>
        </w:rPr>
        <w:t>无。</w:t>
      </w:r>
    </w:p>
    <w:sectPr>
      <w:pgSz w:w="11906" w:h="16838"/>
      <w:pgMar w:top="1440" w:right="1440" w:bottom="144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_GBK">
    <w:altName w:val="微软雅黑"/>
    <w:panose1 w:val="03000509000000000000"/>
    <w:charset w:val="86"/>
    <w:family w:val="script"/>
    <w:pitch w:val="default"/>
    <w:sig w:usb0="00000000" w:usb1="00000000" w:usb2="00000010" w:usb3="00000000" w:csb0="00040000" w:csb1="00000000"/>
  </w:font>
  <w:font w:name="楷体_GB2312">
    <w:panose1 w:val="02010609030101010101"/>
    <w:charset w:val="86"/>
    <w:family w:val="modern"/>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0F1AB73"/>
    <w:multiLevelType w:val="singleLevel"/>
    <w:tmpl w:val="D0F1AB73"/>
    <w:lvl w:ilvl="0" w:tentative="0">
      <w:start w:val="5"/>
      <w:numFmt w:val="chineseCounting"/>
      <w:suff w:val="nothing"/>
      <w:lvlText w:val="%1、"/>
      <w:lvlJc w:val="left"/>
      <w:rPr>
        <w:rFonts w:hint="eastAsia"/>
      </w:rPr>
    </w:lvl>
  </w:abstractNum>
  <w:abstractNum w:abstractNumId="1">
    <w:nsid w:val="31708075"/>
    <w:multiLevelType w:val="singleLevel"/>
    <w:tmpl w:val="31708075"/>
    <w:lvl w:ilvl="0" w:tentative="0">
      <w:start w:val="3"/>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GYwZGVjMjRiMjI1ODA0ZDFlNjdlNTY2ZjczZjQ4ZDMifQ=="/>
  </w:docVars>
  <w:rsids>
    <w:rsidRoot w:val="004B0F46"/>
    <w:rsid w:val="00004E70"/>
    <w:rsid w:val="000F70CB"/>
    <w:rsid w:val="0010299F"/>
    <w:rsid w:val="001F18C0"/>
    <w:rsid w:val="00207FA3"/>
    <w:rsid w:val="002233D5"/>
    <w:rsid w:val="00231485"/>
    <w:rsid w:val="002B2941"/>
    <w:rsid w:val="00340571"/>
    <w:rsid w:val="00361EBD"/>
    <w:rsid w:val="00365574"/>
    <w:rsid w:val="003F7C86"/>
    <w:rsid w:val="004173AA"/>
    <w:rsid w:val="00434972"/>
    <w:rsid w:val="0049254C"/>
    <w:rsid w:val="004B0F46"/>
    <w:rsid w:val="004E09EC"/>
    <w:rsid w:val="004F29A5"/>
    <w:rsid w:val="00515AEC"/>
    <w:rsid w:val="0058233C"/>
    <w:rsid w:val="005A433C"/>
    <w:rsid w:val="005E5ADC"/>
    <w:rsid w:val="006110BF"/>
    <w:rsid w:val="00624995"/>
    <w:rsid w:val="00662F6B"/>
    <w:rsid w:val="00717A5D"/>
    <w:rsid w:val="00784CED"/>
    <w:rsid w:val="0083311C"/>
    <w:rsid w:val="008C62A7"/>
    <w:rsid w:val="008E3B76"/>
    <w:rsid w:val="009321DD"/>
    <w:rsid w:val="00941A1A"/>
    <w:rsid w:val="00956EA4"/>
    <w:rsid w:val="0096378B"/>
    <w:rsid w:val="009D06BD"/>
    <w:rsid w:val="009F3DF6"/>
    <w:rsid w:val="00A11459"/>
    <w:rsid w:val="00A428F1"/>
    <w:rsid w:val="00A5170F"/>
    <w:rsid w:val="00A543FA"/>
    <w:rsid w:val="00A56C8A"/>
    <w:rsid w:val="00A85203"/>
    <w:rsid w:val="00A92E35"/>
    <w:rsid w:val="00B37387"/>
    <w:rsid w:val="00B81AEA"/>
    <w:rsid w:val="00BF71C4"/>
    <w:rsid w:val="00C41058"/>
    <w:rsid w:val="00C5043C"/>
    <w:rsid w:val="00D4301B"/>
    <w:rsid w:val="00D5092F"/>
    <w:rsid w:val="00D8154F"/>
    <w:rsid w:val="00DA4EDB"/>
    <w:rsid w:val="00DE51FF"/>
    <w:rsid w:val="00E55161"/>
    <w:rsid w:val="00E901D1"/>
    <w:rsid w:val="00F91BBA"/>
    <w:rsid w:val="015876FF"/>
    <w:rsid w:val="016976BE"/>
    <w:rsid w:val="01A6665B"/>
    <w:rsid w:val="01EF5276"/>
    <w:rsid w:val="02665DCF"/>
    <w:rsid w:val="02A86D87"/>
    <w:rsid w:val="02AE4CCA"/>
    <w:rsid w:val="02D92DDA"/>
    <w:rsid w:val="03287320"/>
    <w:rsid w:val="03312A67"/>
    <w:rsid w:val="03AE3AC0"/>
    <w:rsid w:val="03FA6217"/>
    <w:rsid w:val="046063A3"/>
    <w:rsid w:val="048E4A8E"/>
    <w:rsid w:val="04A8621F"/>
    <w:rsid w:val="052D1124"/>
    <w:rsid w:val="05841760"/>
    <w:rsid w:val="058C239E"/>
    <w:rsid w:val="06334EF1"/>
    <w:rsid w:val="06377F01"/>
    <w:rsid w:val="071E5F82"/>
    <w:rsid w:val="072B45AB"/>
    <w:rsid w:val="07BB6AF4"/>
    <w:rsid w:val="07EF4D29"/>
    <w:rsid w:val="082B6EE4"/>
    <w:rsid w:val="08470747"/>
    <w:rsid w:val="0893725C"/>
    <w:rsid w:val="089572CF"/>
    <w:rsid w:val="08A00773"/>
    <w:rsid w:val="08A4283C"/>
    <w:rsid w:val="08EF0DD0"/>
    <w:rsid w:val="08F027B4"/>
    <w:rsid w:val="09783F74"/>
    <w:rsid w:val="0A3D57A2"/>
    <w:rsid w:val="0A4370BC"/>
    <w:rsid w:val="0A4D6F7D"/>
    <w:rsid w:val="0A94795B"/>
    <w:rsid w:val="0AB4192F"/>
    <w:rsid w:val="0B1F6B23"/>
    <w:rsid w:val="0B4524E9"/>
    <w:rsid w:val="0BA804E2"/>
    <w:rsid w:val="0BB94E2C"/>
    <w:rsid w:val="0BE27487"/>
    <w:rsid w:val="0C4F7C96"/>
    <w:rsid w:val="0C8C699E"/>
    <w:rsid w:val="0C8E7A46"/>
    <w:rsid w:val="0C966F7F"/>
    <w:rsid w:val="0CCA6CB7"/>
    <w:rsid w:val="0CFF5FF0"/>
    <w:rsid w:val="0D1C42A9"/>
    <w:rsid w:val="0D366EDE"/>
    <w:rsid w:val="0D4B57FA"/>
    <w:rsid w:val="0D60161F"/>
    <w:rsid w:val="0E897C2B"/>
    <w:rsid w:val="0ED94D9B"/>
    <w:rsid w:val="0F957EE7"/>
    <w:rsid w:val="0F9A0948"/>
    <w:rsid w:val="0FA108F2"/>
    <w:rsid w:val="0FB873C3"/>
    <w:rsid w:val="10593E88"/>
    <w:rsid w:val="10C17504"/>
    <w:rsid w:val="10F06DED"/>
    <w:rsid w:val="11107299"/>
    <w:rsid w:val="1134034B"/>
    <w:rsid w:val="115176A2"/>
    <w:rsid w:val="129D6027"/>
    <w:rsid w:val="13242D1C"/>
    <w:rsid w:val="13A52CDF"/>
    <w:rsid w:val="146C1DD9"/>
    <w:rsid w:val="14BF24DE"/>
    <w:rsid w:val="14CC54C7"/>
    <w:rsid w:val="14E33844"/>
    <w:rsid w:val="14EA23A8"/>
    <w:rsid w:val="15A27FE2"/>
    <w:rsid w:val="1627453B"/>
    <w:rsid w:val="17001B92"/>
    <w:rsid w:val="17197045"/>
    <w:rsid w:val="175C6F5E"/>
    <w:rsid w:val="179A7791"/>
    <w:rsid w:val="17DC3DC3"/>
    <w:rsid w:val="181F357B"/>
    <w:rsid w:val="188345AC"/>
    <w:rsid w:val="195E168F"/>
    <w:rsid w:val="196A7CDF"/>
    <w:rsid w:val="19C72BF8"/>
    <w:rsid w:val="19CA553D"/>
    <w:rsid w:val="1A4E2E8E"/>
    <w:rsid w:val="1AF51455"/>
    <w:rsid w:val="1B774556"/>
    <w:rsid w:val="1B9D302A"/>
    <w:rsid w:val="1BE46246"/>
    <w:rsid w:val="1BF446CE"/>
    <w:rsid w:val="1C01201F"/>
    <w:rsid w:val="1C704031"/>
    <w:rsid w:val="1D271A66"/>
    <w:rsid w:val="1DCB47DF"/>
    <w:rsid w:val="1E601115"/>
    <w:rsid w:val="1EB03217"/>
    <w:rsid w:val="1F000FB0"/>
    <w:rsid w:val="1F111AD7"/>
    <w:rsid w:val="1F5A1E7F"/>
    <w:rsid w:val="1FA707DF"/>
    <w:rsid w:val="1FFE7B8C"/>
    <w:rsid w:val="203C025A"/>
    <w:rsid w:val="20775CA3"/>
    <w:rsid w:val="20B120CF"/>
    <w:rsid w:val="217A1AB1"/>
    <w:rsid w:val="22695B47"/>
    <w:rsid w:val="243235AA"/>
    <w:rsid w:val="24B10BAC"/>
    <w:rsid w:val="24D2061D"/>
    <w:rsid w:val="251132F3"/>
    <w:rsid w:val="253C38DE"/>
    <w:rsid w:val="25B24E22"/>
    <w:rsid w:val="262B4FF6"/>
    <w:rsid w:val="264810A7"/>
    <w:rsid w:val="265A7CC8"/>
    <w:rsid w:val="27014400"/>
    <w:rsid w:val="271B2298"/>
    <w:rsid w:val="276D0D8C"/>
    <w:rsid w:val="286C33CA"/>
    <w:rsid w:val="28E4125D"/>
    <w:rsid w:val="29BB6A7E"/>
    <w:rsid w:val="29EC49AF"/>
    <w:rsid w:val="2AC43DDE"/>
    <w:rsid w:val="2AEF4956"/>
    <w:rsid w:val="2B1C41DD"/>
    <w:rsid w:val="2BBE35CD"/>
    <w:rsid w:val="2BD6382B"/>
    <w:rsid w:val="2C7A0558"/>
    <w:rsid w:val="2C933EBB"/>
    <w:rsid w:val="2CDF6E04"/>
    <w:rsid w:val="2D284D02"/>
    <w:rsid w:val="2D3A266F"/>
    <w:rsid w:val="2D8470B0"/>
    <w:rsid w:val="2D85399E"/>
    <w:rsid w:val="2DC65E1F"/>
    <w:rsid w:val="2DF720F5"/>
    <w:rsid w:val="2E1C0F3D"/>
    <w:rsid w:val="2E69253C"/>
    <w:rsid w:val="2EEF2198"/>
    <w:rsid w:val="2F0246FC"/>
    <w:rsid w:val="2F080155"/>
    <w:rsid w:val="30343502"/>
    <w:rsid w:val="30470CFF"/>
    <w:rsid w:val="306918BE"/>
    <w:rsid w:val="30A37680"/>
    <w:rsid w:val="31AF70F0"/>
    <w:rsid w:val="32D24F00"/>
    <w:rsid w:val="32D963A9"/>
    <w:rsid w:val="32ED21B4"/>
    <w:rsid w:val="331926DE"/>
    <w:rsid w:val="35124AFB"/>
    <w:rsid w:val="35164EC9"/>
    <w:rsid w:val="35EE1AE6"/>
    <w:rsid w:val="36216ACD"/>
    <w:rsid w:val="36AD5505"/>
    <w:rsid w:val="36B32D8C"/>
    <w:rsid w:val="36DB24F1"/>
    <w:rsid w:val="37904E67"/>
    <w:rsid w:val="3797204C"/>
    <w:rsid w:val="37A771FF"/>
    <w:rsid w:val="37B37AED"/>
    <w:rsid w:val="37EF7DFA"/>
    <w:rsid w:val="380A1D4B"/>
    <w:rsid w:val="38A54053"/>
    <w:rsid w:val="38D37D37"/>
    <w:rsid w:val="39312765"/>
    <w:rsid w:val="393A2055"/>
    <w:rsid w:val="399C1F0E"/>
    <w:rsid w:val="3A003CFF"/>
    <w:rsid w:val="3A1339C4"/>
    <w:rsid w:val="3AF63590"/>
    <w:rsid w:val="3B06110B"/>
    <w:rsid w:val="3B9B7004"/>
    <w:rsid w:val="3BCF551C"/>
    <w:rsid w:val="3C87456A"/>
    <w:rsid w:val="3CA231F4"/>
    <w:rsid w:val="3CDC3CFC"/>
    <w:rsid w:val="3CFC20B7"/>
    <w:rsid w:val="3E694CE7"/>
    <w:rsid w:val="3E835DD7"/>
    <w:rsid w:val="3EC819BA"/>
    <w:rsid w:val="3EEE35A4"/>
    <w:rsid w:val="3F7004CB"/>
    <w:rsid w:val="3FFC7781"/>
    <w:rsid w:val="405317F7"/>
    <w:rsid w:val="40754FF3"/>
    <w:rsid w:val="40CE715B"/>
    <w:rsid w:val="40D508AB"/>
    <w:rsid w:val="40E640CC"/>
    <w:rsid w:val="41D57B43"/>
    <w:rsid w:val="43141345"/>
    <w:rsid w:val="43420DA9"/>
    <w:rsid w:val="435C781C"/>
    <w:rsid w:val="437C0F5D"/>
    <w:rsid w:val="44B87D18"/>
    <w:rsid w:val="453A160B"/>
    <w:rsid w:val="45E2026E"/>
    <w:rsid w:val="45F85A17"/>
    <w:rsid w:val="463747B7"/>
    <w:rsid w:val="470153B0"/>
    <w:rsid w:val="47212ECA"/>
    <w:rsid w:val="47323108"/>
    <w:rsid w:val="47D51345"/>
    <w:rsid w:val="47E11557"/>
    <w:rsid w:val="48196B29"/>
    <w:rsid w:val="4885603F"/>
    <w:rsid w:val="491722FF"/>
    <w:rsid w:val="491D74A7"/>
    <w:rsid w:val="497C7C2F"/>
    <w:rsid w:val="498307B4"/>
    <w:rsid w:val="49882B9B"/>
    <w:rsid w:val="49AF4809"/>
    <w:rsid w:val="49B324BE"/>
    <w:rsid w:val="4A3763F6"/>
    <w:rsid w:val="4A5007FC"/>
    <w:rsid w:val="4A885383"/>
    <w:rsid w:val="4AE85958"/>
    <w:rsid w:val="4AF51ADF"/>
    <w:rsid w:val="4AFD5436"/>
    <w:rsid w:val="4B7C2BF9"/>
    <w:rsid w:val="4B920728"/>
    <w:rsid w:val="4B9357A5"/>
    <w:rsid w:val="4BC67BFF"/>
    <w:rsid w:val="4C19263D"/>
    <w:rsid w:val="4C253F32"/>
    <w:rsid w:val="4C442E20"/>
    <w:rsid w:val="4C714499"/>
    <w:rsid w:val="4C845F8F"/>
    <w:rsid w:val="4D36566E"/>
    <w:rsid w:val="4DBB24B5"/>
    <w:rsid w:val="4E03467F"/>
    <w:rsid w:val="4EE91176"/>
    <w:rsid w:val="4EF96755"/>
    <w:rsid w:val="4EFF6E71"/>
    <w:rsid w:val="4F0953A4"/>
    <w:rsid w:val="4F7317CB"/>
    <w:rsid w:val="4F7C135A"/>
    <w:rsid w:val="4FC01EDA"/>
    <w:rsid w:val="50281CF3"/>
    <w:rsid w:val="509154B6"/>
    <w:rsid w:val="50BB4683"/>
    <w:rsid w:val="50EC10F9"/>
    <w:rsid w:val="5177797E"/>
    <w:rsid w:val="52F6075F"/>
    <w:rsid w:val="53086FF5"/>
    <w:rsid w:val="534D0228"/>
    <w:rsid w:val="53AB142E"/>
    <w:rsid w:val="54207C51"/>
    <w:rsid w:val="54DA727F"/>
    <w:rsid w:val="54E65F5A"/>
    <w:rsid w:val="557D2E1D"/>
    <w:rsid w:val="55804F6C"/>
    <w:rsid w:val="55BE3B30"/>
    <w:rsid w:val="564516B7"/>
    <w:rsid w:val="56685DC5"/>
    <w:rsid w:val="567C109E"/>
    <w:rsid w:val="567E6210"/>
    <w:rsid w:val="56933523"/>
    <w:rsid w:val="56BA55C6"/>
    <w:rsid w:val="57124CDD"/>
    <w:rsid w:val="576D1203"/>
    <w:rsid w:val="57837BDE"/>
    <w:rsid w:val="57935E95"/>
    <w:rsid w:val="58152013"/>
    <w:rsid w:val="58CE683B"/>
    <w:rsid w:val="59A40B9B"/>
    <w:rsid w:val="5A3C1A0D"/>
    <w:rsid w:val="5A6A2A29"/>
    <w:rsid w:val="5A9244F7"/>
    <w:rsid w:val="5AF97A89"/>
    <w:rsid w:val="5B352171"/>
    <w:rsid w:val="5B514882"/>
    <w:rsid w:val="5B5C757D"/>
    <w:rsid w:val="5B6B124E"/>
    <w:rsid w:val="5BB54965"/>
    <w:rsid w:val="5C8E41DD"/>
    <w:rsid w:val="5D155819"/>
    <w:rsid w:val="5D656D7E"/>
    <w:rsid w:val="5DCE0C96"/>
    <w:rsid w:val="5DE454AE"/>
    <w:rsid w:val="5DEC70B2"/>
    <w:rsid w:val="5E1F095F"/>
    <w:rsid w:val="5E482C04"/>
    <w:rsid w:val="5E5D637B"/>
    <w:rsid w:val="5EC735B0"/>
    <w:rsid w:val="5F0035F9"/>
    <w:rsid w:val="5F0F193D"/>
    <w:rsid w:val="5F2B6724"/>
    <w:rsid w:val="60C055B7"/>
    <w:rsid w:val="612D4EDB"/>
    <w:rsid w:val="61F20913"/>
    <w:rsid w:val="624B0B8B"/>
    <w:rsid w:val="62923B3C"/>
    <w:rsid w:val="62C32DEC"/>
    <w:rsid w:val="630D66DA"/>
    <w:rsid w:val="639F4202"/>
    <w:rsid w:val="63B0031B"/>
    <w:rsid w:val="640D5FD9"/>
    <w:rsid w:val="641E0B92"/>
    <w:rsid w:val="642C6292"/>
    <w:rsid w:val="643B0B1A"/>
    <w:rsid w:val="645E3C0F"/>
    <w:rsid w:val="647D1024"/>
    <w:rsid w:val="649324AE"/>
    <w:rsid w:val="64B66725"/>
    <w:rsid w:val="64C074E1"/>
    <w:rsid w:val="64F0262E"/>
    <w:rsid w:val="65025750"/>
    <w:rsid w:val="65191B9C"/>
    <w:rsid w:val="653021A9"/>
    <w:rsid w:val="65A54A2D"/>
    <w:rsid w:val="65EB60C2"/>
    <w:rsid w:val="66022946"/>
    <w:rsid w:val="66A877C4"/>
    <w:rsid w:val="67303E4C"/>
    <w:rsid w:val="67347CE6"/>
    <w:rsid w:val="675A5E15"/>
    <w:rsid w:val="677549A9"/>
    <w:rsid w:val="67F2708D"/>
    <w:rsid w:val="68030691"/>
    <w:rsid w:val="689E76A5"/>
    <w:rsid w:val="68DB1AF2"/>
    <w:rsid w:val="68E0427F"/>
    <w:rsid w:val="68F75735"/>
    <w:rsid w:val="694757F4"/>
    <w:rsid w:val="69B41099"/>
    <w:rsid w:val="6B3B48D5"/>
    <w:rsid w:val="6BBF4B8D"/>
    <w:rsid w:val="6C630660"/>
    <w:rsid w:val="6C6E6460"/>
    <w:rsid w:val="6C9165DC"/>
    <w:rsid w:val="6C9331C1"/>
    <w:rsid w:val="6D2E13D1"/>
    <w:rsid w:val="6D3264BE"/>
    <w:rsid w:val="6D6D6826"/>
    <w:rsid w:val="6D9E11D0"/>
    <w:rsid w:val="6DCC19D2"/>
    <w:rsid w:val="6DFE63C1"/>
    <w:rsid w:val="6E224140"/>
    <w:rsid w:val="6E2E58DF"/>
    <w:rsid w:val="6E987E4E"/>
    <w:rsid w:val="6EE044A0"/>
    <w:rsid w:val="6F0F7BD0"/>
    <w:rsid w:val="6F1D59CD"/>
    <w:rsid w:val="6FE61A56"/>
    <w:rsid w:val="704C412C"/>
    <w:rsid w:val="70AD1C74"/>
    <w:rsid w:val="711C4732"/>
    <w:rsid w:val="718F1130"/>
    <w:rsid w:val="72696BF8"/>
    <w:rsid w:val="734F28D5"/>
    <w:rsid w:val="734F3820"/>
    <w:rsid w:val="73F11B0B"/>
    <w:rsid w:val="7455119F"/>
    <w:rsid w:val="749B7B08"/>
    <w:rsid w:val="74B015AB"/>
    <w:rsid w:val="74BF00CF"/>
    <w:rsid w:val="74CF5344"/>
    <w:rsid w:val="75786376"/>
    <w:rsid w:val="75F34010"/>
    <w:rsid w:val="765D45B4"/>
    <w:rsid w:val="76735213"/>
    <w:rsid w:val="772B072A"/>
    <w:rsid w:val="778F1D5A"/>
    <w:rsid w:val="7836349E"/>
    <w:rsid w:val="78A55F95"/>
    <w:rsid w:val="794F5B82"/>
    <w:rsid w:val="79E234DF"/>
    <w:rsid w:val="7A0966D2"/>
    <w:rsid w:val="7A0F2FD7"/>
    <w:rsid w:val="7A1B3CD1"/>
    <w:rsid w:val="7A5B19C4"/>
    <w:rsid w:val="7A702BF0"/>
    <w:rsid w:val="7B091C7D"/>
    <w:rsid w:val="7B877F0B"/>
    <w:rsid w:val="7C511C26"/>
    <w:rsid w:val="7CA00AC6"/>
    <w:rsid w:val="7CEF5D73"/>
    <w:rsid w:val="7D00680F"/>
    <w:rsid w:val="7DED6266"/>
    <w:rsid w:val="7E1953C1"/>
    <w:rsid w:val="7E226C0D"/>
    <w:rsid w:val="7E294730"/>
    <w:rsid w:val="7E3B45BE"/>
    <w:rsid w:val="7EC4324E"/>
    <w:rsid w:val="7EF36598"/>
    <w:rsid w:val="7F72535A"/>
    <w:rsid w:val="7F811079"/>
    <w:rsid w:val="7F953939"/>
    <w:rsid w:val="7FD064E0"/>
    <w:rsid w:val="7FD323C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2"/>
    <w:qFormat/>
    <w:uiPriority w:val="0"/>
    <w:rPr>
      <w:sz w:val="18"/>
      <w:szCs w:val="18"/>
    </w:rPr>
  </w:style>
  <w:style w:type="paragraph" w:styleId="3">
    <w:name w:val="footer"/>
    <w:basedOn w:val="1"/>
    <w:link w:val="10"/>
    <w:qFormat/>
    <w:uiPriority w:val="0"/>
    <w:pPr>
      <w:tabs>
        <w:tab w:val="center" w:pos="4153"/>
        <w:tab w:val="right" w:pos="8306"/>
      </w:tabs>
      <w:snapToGrid w:val="0"/>
      <w:jc w:val="left"/>
    </w:pPr>
    <w:rPr>
      <w:sz w:val="18"/>
      <w:szCs w:val="18"/>
    </w:rPr>
  </w:style>
  <w:style w:type="paragraph" w:styleId="4">
    <w:name w:val="header"/>
    <w:basedOn w:val="1"/>
    <w:link w:val="9"/>
    <w:qFormat/>
    <w:uiPriority w:val="0"/>
    <w:pPr>
      <w:pBdr>
        <w:bottom w:val="single" w:color="auto" w:sz="6" w:space="1"/>
      </w:pBdr>
      <w:tabs>
        <w:tab w:val="center" w:pos="4153"/>
        <w:tab w:val="right" w:pos="8306"/>
      </w:tabs>
      <w:snapToGrid w:val="0"/>
      <w:jc w:val="center"/>
    </w:pPr>
    <w:rPr>
      <w:sz w:val="18"/>
      <w:szCs w:val="18"/>
    </w:rPr>
  </w:style>
  <w:style w:type="paragraph" w:styleId="7">
    <w:name w:val="List Paragraph"/>
    <w:basedOn w:val="1"/>
    <w:qFormat/>
    <w:uiPriority w:val="99"/>
    <w:pPr>
      <w:ind w:firstLine="420" w:firstLineChars="200"/>
    </w:pPr>
    <w:rPr>
      <w:rFonts w:ascii="Calibri" w:hAnsi="Calibri"/>
      <w:szCs w:val="22"/>
    </w:rPr>
  </w:style>
  <w:style w:type="paragraph" w:customStyle="1" w:styleId="8">
    <w:name w:val="Default"/>
    <w:uiPriority w:val="0"/>
    <w:pPr>
      <w:widowControl w:val="0"/>
      <w:autoSpaceDE w:val="0"/>
      <w:autoSpaceDN w:val="0"/>
      <w:adjustRightInd w:val="0"/>
    </w:pPr>
    <w:rPr>
      <w:rFonts w:ascii="黑体" w:hAnsi="Calibri" w:eastAsia="黑体" w:cs="黑体"/>
      <w:color w:val="000000"/>
      <w:sz w:val="24"/>
      <w:szCs w:val="24"/>
      <w:lang w:val="en-US" w:eastAsia="zh-CN" w:bidi="ar-SA"/>
    </w:rPr>
  </w:style>
  <w:style w:type="character" w:customStyle="1" w:styleId="9">
    <w:name w:val="页眉 Char"/>
    <w:basedOn w:val="6"/>
    <w:link w:val="4"/>
    <w:qFormat/>
    <w:uiPriority w:val="0"/>
    <w:rPr>
      <w:kern w:val="2"/>
      <w:sz w:val="18"/>
      <w:szCs w:val="18"/>
    </w:rPr>
  </w:style>
  <w:style w:type="character" w:customStyle="1" w:styleId="10">
    <w:name w:val="页脚 Char"/>
    <w:basedOn w:val="6"/>
    <w:link w:val="3"/>
    <w:qFormat/>
    <w:uiPriority w:val="0"/>
    <w:rPr>
      <w:kern w:val="2"/>
      <w:sz w:val="18"/>
      <w:szCs w:val="18"/>
    </w:rPr>
  </w:style>
  <w:style w:type="character" w:customStyle="1" w:styleId="11">
    <w:name w:val="NormalCharacter"/>
    <w:qFormat/>
    <w:uiPriority w:val="0"/>
    <w:rPr>
      <w:rFonts w:ascii="Times New Roman" w:hAnsi="Times New Roman" w:eastAsia="宋体"/>
    </w:rPr>
  </w:style>
  <w:style w:type="character" w:customStyle="1" w:styleId="12">
    <w:name w:val="批注框文本 Char"/>
    <w:basedOn w:val="6"/>
    <w:link w:val="2"/>
    <w:qFormat/>
    <w:uiPriority w:val="0"/>
    <w:rPr>
      <w:rFonts w:ascii="Times New Roman" w:hAnsi="Times New Roman"/>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Micorosoft</Company>
  <Pages>10</Pages>
  <Words>4639</Words>
  <Characters>4924</Characters>
  <Lines>35</Lines>
  <Paragraphs>10</Paragraphs>
  <TotalTime>12</TotalTime>
  <ScaleCrop>false</ScaleCrop>
  <LinksUpToDate>false</LinksUpToDate>
  <CharactersWithSpaces>4965</CharactersWithSpaces>
  <Application>WPS Office_11.1.0.12980_F1E327BC-269C-435d-A152-05C5408002CA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2021-03-23T07:16:00Z</dcterms:created>
  <dc:creator>Administrator.BF-20190731HTSG</dc:creator>
  <cp:lastModifiedBy>Administrator</cp:lastModifiedBy>
  <cp:lastPrinted>2022-09-27T02:41:00Z</cp:lastPrinted>
  <dcterms:modified xsi:type="dcterms:W3CDTF">2022-12-07T02:36:13Z</dcterms:modified>
  <cp:revision>43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2052-11.1.0.12980</vt:lpwstr>
  </property>
  <property fmtid="{D5CDD505-2E9C-101B-9397-08002B2CF9AE}" pid="3" name="ICV">
    <vt:lpwstr>46B1E17AE7754E13BA78DBD53DD7830E</vt:lpwstr>
  </property>
</Properties>
</file>