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eastAsia="方正小标宋_GBK"/>
          <w:sz w:val="48"/>
          <w:szCs w:val="48"/>
        </w:rPr>
      </w:pPr>
    </w:p>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eastAsia="方正小标宋_GBK"/>
          <w:sz w:val="48"/>
          <w:szCs w:val="48"/>
        </w:rPr>
      </w:pPr>
    </w:p>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eastAsia="方正小标宋_GBK"/>
          <w:sz w:val="48"/>
          <w:szCs w:val="48"/>
        </w:rPr>
      </w:pPr>
    </w:p>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eastAsia="方正小标宋_GBK"/>
          <w:sz w:val="48"/>
          <w:szCs w:val="48"/>
        </w:rPr>
      </w:pPr>
    </w:p>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eastAsia="方正小标宋_GBK"/>
          <w:sz w:val="48"/>
          <w:szCs w:val="48"/>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2021年度</w:t>
      </w:r>
      <w:r>
        <w:rPr>
          <w:rFonts w:hint="eastAsia" w:eastAsia="方正小标宋简体" w:cs="Times New Roman"/>
          <w:sz w:val="44"/>
          <w:szCs w:val="44"/>
          <w:lang w:val="en-US" w:eastAsia="zh-CN"/>
        </w:rPr>
        <w:t>株洲市芦淞区</w:t>
      </w:r>
      <w:r>
        <w:rPr>
          <w:rFonts w:hint="eastAsia" w:ascii="Times New Roman" w:hAnsi="Times New Roman" w:eastAsia="方正小标宋简体" w:cs="Times New Roman"/>
          <w:sz w:val="44"/>
          <w:szCs w:val="44"/>
          <w:lang w:val="en-US" w:eastAsia="zh-CN"/>
        </w:rPr>
        <w:t>董家塅街道办事处</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整体支出绩效自评报告</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eastAsia="楷体_GB2312"/>
          <w:b/>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eastAsia="黑体"/>
          <w:sz w:val="44"/>
          <w:szCs w:val="44"/>
        </w:rPr>
      </w:pP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eastAsia="仿宋_GB2312"/>
          <w:sz w:val="32"/>
          <w:szCs w:val="32"/>
        </w:rPr>
        <w:br w:type="page"/>
      </w:r>
      <w:r>
        <w:rPr>
          <w:rFonts w:eastAsia="黑体"/>
          <w:sz w:val="32"/>
          <w:szCs w:val="32"/>
        </w:rPr>
        <w:t>一、基本情况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楷体_GB2312"/>
          <w:b/>
          <w:sz w:val="32"/>
          <w:szCs w:val="32"/>
        </w:rPr>
      </w:pPr>
      <w:r>
        <w:rPr>
          <w:rFonts w:eastAsia="楷体_GB2312"/>
          <w:b/>
          <w:sz w:val="32"/>
          <w:szCs w:val="32"/>
        </w:rPr>
        <w:t>（一）</w:t>
      </w:r>
      <w:r>
        <w:rPr>
          <w:rFonts w:hint="eastAsia" w:eastAsia="楷体_GB2312"/>
          <w:b/>
          <w:sz w:val="32"/>
          <w:szCs w:val="32"/>
          <w:lang w:eastAsia="zh-CN"/>
        </w:rPr>
        <w:t>单位</w:t>
      </w:r>
      <w:r>
        <w:rPr>
          <w:rFonts w:eastAsia="楷体_GB2312"/>
          <w:b/>
          <w:sz w:val="32"/>
          <w:szCs w:val="32"/>
        </w:rPr>
        <w:t>基本情况</w:t>
      </w:r>
    </w:p>
    <w:p>
      <w:pPr>
        <w:pStyle w:val="10"/>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lang w:val="zh-CN"/>
        </w:rPr>
      </w:pPr>
      <w:r>
        <w:rPr>
          <w:rFonts w:hint="eastAsia" w:ascii="Times New Roman" w:hAnsi="Times New Roman" w:eastAsia="仿宋_GB2312"/>
          <w:sz w:val="32"/>
          <w:szCs w:val="32"/>
        </w:rPr>
        <w:t>机构情况。我单位内</w:t>
      </w:r>
      <w:r>
        <w:rPr>
          <w:rFonts w:hint="eastAsia" w:ascii="Times New Roman" w:hAnsi="Times New Roman" w:eastAsia="仿宋_GB2312"/>
          <w:sz w:val="32"/>
          <w:szCs w:val="32"/>
          <w:lang w:val="zh-CN"/>
        </w:rPr>
        <w:t>设机构包括：党政办公室、党建办公室、城市管理办公室（农业农村工作办公室）、公共服务办公室、公共安全办公室、生态环境办公室。</w:t>
      </w:r>
    </w:p>
    <w:p>
      <w:pPr>
        <w:pStyle w:val="10"/>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lang w:val="zh-CN"/>
        </w:rPr>
      </w:pPr>
      <w:r>
        <w:rPr>
          <w:rFonts w:hint="eastAsia" w:ascii="Times New Roman" w:hAnsi="Times New Roman" w:eastAsia="仿宋_GB2312"/>
          <w:sz w:val="32"/>
          <w:szCs w:val="32"/>
        </w:rPr>
        <w:t>人员情况。2021年本单位年未实有人数76人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r>
        <w:rPr>
          <w:rFonts w:hint="eastAsia" w:ascii="Times New Roman" w:hAnsi="Times New Roman" w:eastAsia="仿宋_GB2312"/>
          <w:sz w:val="32"/>
          <w:szCs w:val="32"/>
          <w:lang w:val="zh-CN"/>
        </w:rPr>
        <w:t>行政编制25人，事业编制20人，退休人员31人。</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eastAsia="楷体_GB2312"/>
          <w:b/>
          <w:sz w:val="32"/>
          <w:szCs w:val="32"/>
        </w:rPr>
      </w:pPr>
      <w:r>
        <w:rPr>
          <w:rFonts w:eastAsia="楷体_GB2312"/>
          <w:b/>
          <w:sz w:val="32"/>
          <w:szCs w:val="32"/>
        </w:rPr>
        <w:t>年度整体支出绩效目标，</w:t>
      </w:r>
      <w:r>
        <w:rPr>
          <w:rFonts w:hint="eastAsia" w:eastAsia="楷体_GB2312"/>
          <w:b/>
          <w:sz w:val="32"/>
          <w:szCs w:val="32"/>
        </w:rPr>
        <w:t>部门</w:t>
      </w:r>
      <w:r>
        <w:rPr>
          <w:rFonts w:eastAsia="楷体_GB2312"/>
          <w:b/>
          <w:sz w:val="32"/>
          <w:szCs w:val="32"/>
        </w:rPr>
        <w:t>专项资金绩效目标、其他项目支出（除省级专项资金以外）绩效目标</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1、保障机关正常运转。董家塅街道办事处属全额预算拨款的行政单位，根据编办核定，行政编制25人，事业编制20人，退休人员31人。</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2、全面履行和承担四项职能：一是促进经济发展，增加居民收入；二是强化公共服务，着力改善民生；三是加强社会管理，维护社会稳定；四是推进基层民主，促进社会和谐。</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pPr>
        <w:pStyle w:val="1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w:t>
      </w:r>
      <w:r>
        <w:rPr>
          <w:rFonts w:ascii="Times New Roman" w:hAnsi="Times New Roman" w:eastAsia="仿宋" w:cs="Times New Roman"/>
          <w:kern w:val="2"/>
          <w:sz w:val="32"/>
          <w:szCs w:val="32"/>
          <w:lang w:val="en-US" w:eastAsia="zh-CN" w:bidi="ar-SA"/>
        </w:rPr>
        <w:t>202</w:t>
      </w:r>
      <w:r>
        <w:rPr>
          <w:rFonts w:hint="eastAsia" w:ascii="Times New Roman" w:hAnsi="Times New Roman" w:eastAsia="仿宋" w:cs="Times New Roman"/>
          <w:kern w:val="2"/>
          <w:sz w:val="32"/>
          <w:szCs w:val="32"/>
          <w:lang w:val="en-US" w:eastAsia="zh-CN" w:bidi="ar-SA"/>
        </w:rPr>
        <w:t>1</w:t>
      </w:r>
      <w:r>
        <w:rPr>
          <w:rFonts w:ascii="Times New Roman" w:hAnsi="Times New Roman" w:eastAsia="仿宋" w:cs="Times New Roman"/>
          <w:kern w:val="2"/>
          <w:sz w:val="32"/>
          <w:szCs w:val="32"/>
          <w:lang w:val="en-US" w:eastAsia="zh-CN" w:bidi="ar-SA"/>
        </w:rPr>
        <w:t>年</w:t>
      </w:r>
      <w:r>
        <w:rPr>
          <w:rFonts w:hint="eastAsia" w:ascii="Times New Roman" w:hAnsi="Times New Roman" w:eastAsia="仿宋" w:cs="Times New Roman"/>
          <w:kern w:val="2"/>
          <w:sz w:val="32"/>
          <w:szCs w:val="32"/>
          <w:lang w:val="en-US" w:eastAsia="zh-CN" w:bidi="ar-SA"/>
        </w:rPr>
        <w:t>度年初</w:t>
      </w:r>
      <w:r>
        <w:rPr>
          <w:rFonts w:ascii="Times New Roman" w:hAnsi="Times New Roman" w:eastAsia="仿宋" w:cs="Times New Roman"/>
          <w:kern w:val="2"/>
          <w:sz w:val="32"/>
          <w:szCs w:val="32"/>
          <w:lang w:val="en-US" w:eastAsia="zh-CN" w:bidi="ar-SA"/>
        </w:rPr>
        <w:t>预算资金</w:t>
      </w:r>
      <w:r>
        <w:rPr>
          <w:rFonts w:hint="eastAsia" w:ascii="Times New Roman" w:hAnsi="Times New Roman" w:eastAsia="仿宋" w:cs="Times New Roman"/>
          <w:kern w:val="2"/>
          <w:sz w:val="32"/>
          <w:szCs w:val="32"/>
          <w:lang w:val="en-US" w:eastAsia="zh-CN" w:bidi="ar-SA"/>
        </w:rPr>
        <w:t>833.10万元。</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2、2021年度</w:t>
      </w:r>
      <w:r>
        <w:rPr>
          <w:rFonts w:ascii="Times New Roman" w:hAnsi="Times New Roman" w:eastAsia="仿宋" w:cs="Times New Roman"/>
          <w:kern w:val="2"/>
          <w:sz w:val="32"/>
          <w:szCs w:val="32"/>
          <w:lang w:val="en-US" w:eastAsia="zh-CN" w:bidi="ar-SA"/>
        </w:rPr>
        <w:t>单位</w:t>
      </w:r>
      <w:r>
        <w:rPr>
          <w:rFonts w:hint="eastAsia" w:ascii="Times New Roman" w:hAnsi="Times New Roman" w:eastAsia="仿宋" w:cs="Times New Roman"/>
          <w:kern w:val="2"/>
          <w:sz w:val="32"/>
          <w:szCs w:val="32"/>
          <w:lang w:val="en-US" w:eastAsia="zh-CN" w:bidi="ar-SA"/>
        </w:rPr>
        <w:t>一般公共预算财政拨款</w:t>
      </w:r>
      <w:r>
        <w:rPr>
          <w:rFonts w:ascii="Times New Roman" w:hAnsi="Times New Roman" w:eastAsia="仿宋" w:cs="Times New Roman"/>
          <w:kern w:val="2"/>
          <w:sz w:val="32"/>
          <w:szCs w:val="32"/>
          <w:lang w:val="en-US" w:eastAsia="zh-CN" w:bidi="ar-SA"/>
        </w:rPr>
        <w:t>收入</w:t>
      </w:r>
      <w:r>
        <w:rPr>
          <w:rFonts w:hint="eastAsia" w:ascii="Times New Roman" w:hAnsi="Times New Roman" w:eastAsia="仿宋" w:cs="Times New Roman"/>
          <w:kern w:val="2"/>
          <w:sz w:val="32"/>
          <w:szCs w:val="32"/>
          <w:lang w:val="en-US" w:eastAsia="zh-CN" w:bidi="ar-SA"/>
        </w:rPr>
        <w:t>1929.65万元。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3</w:t>
      </w:r>
      <w:r>
        <w:rPr>
          <w:rFonts w:hint="eastAsia" w:ascii="Times New Roman" w:hAnsi="Times New Roman" w:eastAsia="仿宋" w:cs="Times New Roman"/>
          <w:kern w:val="2"/>
          <w:sz w:val="32"/>
          <w:szCs w:val="32"/>
          <w:lang w:val="en-US" w:eastAsia="zh-CN" w:bidi="ar-SA"/>
        </w:rPr>
        <w:t>、2021年度</w:t>
      </w:r>
      <w:r>
        <w:rPr>
          <w:rFonts w:ascii="Times New Roman" w:hAnsi="Times New Roman" w:eastAsia="仿宋" w:cs="Times New Roman"/>
          <w:kern w:val="2"/>
          <w:sz w:val="32"/>
          <w:szCs w:val="32"/>
          <w:lang w:val="en-US" w:eastAsia="zh-CN" w:bidi="ar-SA"/>
        </w:rPr>
        <w:t>单位</w:t>
      </w:r>
      <w:r>
        <w:rPr>
          <w:rFonts w:hint="eastAsia" w:ascii="Times New Roman" w:hAnsi="Times New Roman" w:eastAsia="仿宋" w:cs="Times New Roman"/>
          <w:kern w:val="2"/>
          <w:sz w:val="32"/>
          <w:szCs w:val="32"/>
          <w:lang w:val="en-US" w:eastAsia="zh-CN" w:bidi="ar-SA"/>
        </w:rPr>
        <w:t>一般公共预算财政拨款支出1929.65万元。</w:t>
      </w:r>
      <w:r>
        <w:rPr>
          <w:rFonts w:ascii="Times New Roman" w:hAnsi="Times New Roman" w:eastAsia="仿宋" w:cs="Times New Roman"/>
          <w:kern w:val="2"/>
          <w:sz w:val="32"/>
          <w:szCs w:val="32"/>
          <w:lang w:val="en-US" w:eastAsia="zh-CN" w:bidi="ar-SA"/>
        </w:rPr>
        <w:t>其中：项目支出</w:t>
      </w:r>
      <w:r>
        <w:rPr>
          <w:rFonts w:hint="eastAsia" w:ascii="Times New Roman" w:hAnsi="Times New Roman" w:eastAsia="仿宋" w:cs="Times New Roman"/>
          <w:kern w:val="2"/>
          <w:sz w:val="32"/>
          <w:szCs w:val="32"/>
          <w:lang w:val="en-US" w:eastAsia="zh-CN" w:bidi="ar-SA"/>
        </w:rPr>
        <w:t>746.01</w:t>
      </w:r>
      <w:r>
        <w:rPr>
          <w:rFonts w:ascii="Times New Roman" w:hAnsi="Times New Roman" w:eastAsia="仿宋" w:cs="Times New Roman"/>
          <w:kern w:val="2"/>
          <w:sz w:val="32"/>
          <w:szCs w:val="32"/>
          <w:lang w:val="en-US" w:eastAsia="zh-CN" w:bidi="ar-SA"/>
        </w:rPr>
        <w:t>万元，基本支出</w:t>
      </w:r>
      <w:r>
        <w:rPr>
          <w:rFonts w:hint="eastAsia" w:ascii="Times New Roman" w:hAnsi="Times New Roman" w:eastAsia="仿宋" w:cs="Times New Roman"/>
          <w:kern w:val="2"/>
          <w:sz w:val="32"/>
          <w:szCs w:val="32"/>
          <w:lang w:val="en-US" w:eastAsia="zh-CN" w:bidi="ar-SA"/>
        </w:rPr>
        <w:t>1183.64</w:t>
      </w:r>
      <w:r>
        <w:rPr>
          <w:rFonts w:ascii="Times New Roman" w:hAnsi="Times New Roman" w:eastAsia="仿宋" w:cs="Times New Roman"/>
          <w:kern w:val="2"/>
          <w:sz w:val="32"/>
          <w:szCs w:val="32"/>
          <w:lang w:val="en-US" w:eastAsia="zh-CN" w:bidi="ar-SA"/>
        </w:rPr>
        <w:t>万元，其中：人员经费</w:t>
      </w:r>
      <w:r>
        <w:rPr>
          <w:rFonts w:hint="eastAsia" w:ascii="Times New Roman" w:hAnsi="Times New Roman" w:eastAsia="仿宋" w:cs="Times New Roman"/>
          <w:kern w:val="2"/>
          <w:sz w:val="32"/>
          <w:szCs w:val="32"/>
          <w:lang w:val="en-US" w:eastAsia="zh-CN" w:bidi="ar-SA"/>
        </w:rPr>
        <w:t>624.44</w:t>
      </w:r>
      <w:r>
        <w:rPr>
          <w:rFonts w:ascii="Times New Roman" w:hAnsi="Times New Roman" w:eastAsia="仿宋" w:cs="Times New Roman"/>
          <w:kern w:val="2"/>
          <w:sz w:val="32"/>
          <w:szCs w:val="32"/>
          <w:lang w:val="en-US" w:eastAsia="zh-CN" w:bidi="ar-SA"/>
        </w:rPr>
        <w:t>万元，公用经费</w:t>
      </w:r>
      <w:r>
        <w:rPr>
          <w:rFonts w:hint="eastAsia" w:ascii="Times New Roman" w:hAnsi="Times New Roman" w:eastAsia="仿宋" w:cs="Times New Roman"/>
          <w:kern w:val="2"/>
          <w:sz w:val="32"/>
          <w:szCs w:val="32"/>
          <w:lang w:val="en-US" w:eastAsia="zh-CN" w:bidi="ar-SA"/>
        </w:rPr>
        <w:t>559.20万</w:t>
      </w:r>
      <w:r>
        <w:rPr>
          <w:rFonts w:ascii="Times New Roman" w:hAnsi="Times New Roman" w:eastAsia="仿宋" w:cs="Times New Roman"/>
          <w:kern w:val="2"/>
          <w:sz w:val="32"/>
          <w:szCs w:val="32"/>
          <w:lang w:val="en-US" w:eastAsia="zh-CN" w:bidi="ar-SA"/>
        </w:rPr>
        <w:t>元。</w:t>
      </w:r>
    </w:p>
    <w:p>
      <w:pPr>
        <w:pStyle w:val="10"/>
        <w:keepNext w:val="0"/>
        <w:keepLines w:val="0"/>
        <w:pageBreakBefore w:val="0"/>
        <w:numPr>
          <w:ilvl w:val="0"/>
          <w:numId w:val="3"/>
        </w:numPr>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1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b/>
          <w:sz w:val="32"/>
          <w:szCs w:val="32"/>
        </w:rPr>
      </w:pPr>
      <w:r>
        <w:rPr>
          <w:rFonts w:hint="eastAsia" w:ascii="Times New Roman" w:hAnsi="Times New Roman" w:eastAsia="楷体_GB2312"/>
          <w:b/>
          <w:sz w:val="32"/>
          <w:szCs w:val="32"/>
        </w:rPr>
        <w:t xml:space="preserve">  </w:t>
      </w:r>
      <w:r>
        <w:rPr>
          <w:rFonts w:hint="eastAsia" w:ascii="Times New Roman" w:hAnsi="Times New Roman" w:eastAsia="仿宋"/>
          <w:sz w:val="32"/>
          <w:szCs w:val="32"/>
        </w:rPr>
        <w:t xml:space="preserve">  2021年度一般公共预算拨款项目支出746.01万元。其中：</w:t>
      </w:r>
    </w:p>
    <w:p>
      <w:pPr>
        <w:pStyle w:val="10"/>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sz w:val="32"/>
          <w:szCs w:val="32"/>
        </w:rPr>
      </w:pPr>
      <w:r>
        <w:rPr>
          <w:rFonts w:hint="eastAsia" w:ascii="Times New Roman" w:hAnsi="Times New Roman" w:eastAsia="仿宋"/>
          <w:sz w:val="32"/>
          <w:szCs w:val="32"/>
        </w:rPr>
        <w:t>朱田铺村抛荒治理工作经费项目支出5.0万元；2、市拨十个社区经费和南沿社区2020年提质改造专项资金项目支出110.0万元;3、公益性岗位补贴和就业创业服务资金项目支出78.27万元;4、朱田铺村抛荒治理工作黑臭水体专项治理经费项目支出236.93万元；5、十个社区网格工作经费项目支出241.93万元；6、退役军人就业援助岗位补贴项目支出71.84万元；7、标准化财政所创建经费项目支出1.74万元；8、劳动社区全国科普日活动及科普信息化融合发展工作经费项目支出0.3万元；</w:t>
      </w:r>
    </w:p>
    <w:p>
      <w:pPr>
        <w:pStyle w:val="10"/>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政府性基金预算支出情况</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hint="eastAsia" w:eastAsia="仿宋"/>
          <w:sz w:val="32"/>
          <w:szCs w:val="32"/>
        </w:rPr>
        <w:t>2021年度政府性基金预算安排支出9.34万元，均为基本支出。</w:t>
      </w:r>
    </w:p>
    <w:p>
      <w:pPr>
        <w:pStyle w:val="10"/>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rPr>
        <w:t>无</w:t>
      </w:r>
      <w:r>
        <w:rPr>
          <w:rFonts w:hint="eastAsia" w:ascii="Times New Roman" w:hAnsi="Times New Roman" w:eastAsia="仿宋"/>
          <w:sz w:val="32"/>
          <w:szCs w:val="32"/>
          <w:lang w:eastAsia="zh-CN"/>
        </w:rPr>
        <w:t>。</w:t>
      </w:r>
    </w:p>
    <w:p>
      <w:pPr>
        <w:pStyle w:val="10"/>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rPr>
        <w:t>无</w:t>
      </w:r>
      <w:r>
        <w:rPr>
          <w:rFonts w:hint="eastAsia" w:ascii="Times New Roman" w:hAnsi="Times New Roman" w:eastAsia="仿宋"/>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eastAsia="黑体"/>
          <w:sz w:val="32"/>
          <w:szCs w:val="32"/>
        </w:rPr>
        <w:t>六、</w:t>
      </w:r>
      <w:r>
        <w:rPr>
          <w:rFonts w:hint="eastAsia" w:eastAsia="黑体"/>
          <w:sz w:val="32"/>
          <w:szCs w:val="32"/>
        </w:rPr>
        <w:t>资金使用及</w:t>
      </w:r>
      <w:r>
        <w:rPr>
          <w:rFonts w:eastAsia="黑体"/>
          <w:sz w:val="32"/>
          <w:szCs w:val="32"/>
        </w:rPr>
        <w:t>绩效情况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楷体_GB2312"/>
          <w:b/>
          <w:sz w:val="32"/>
          <w:szCs w:val="32"/>
        </w:rPr>
      </w:pPr>
      <w:r>
        <w:rPr>
          <w:rFonts w:hint="eastAsia" w:eastAsia="楷体_GB2312"/>
          <w:b/>
          <w:sz w:val="32"/>
          <w:szCs w:val="32"/>
        </w:rPr>
        <w:t>(一）部门整体支出绩效情况</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b/>
          <w:bCs/>
        </w:rPr>
      </w:pPr>
      <w:r>
        <w:rPr>
          <w:rFonts w:hint="eastAsia"/>
          <w:b/>
          <w:bCs/>
        </w:rPr>
        <w:t>（1）资金使用情况</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rPr>
        <w:t>1、严格执行“厉行节约、反对浪费”的规定，保障行政和基层各级党组织正常运转和各项工作的顺利开展。</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仿宋_GB2312"/>
          <w:kern w:val="2"/>
          <w:sz w:val="32"/>
          <w:szCs w:val="32"/>
        </w:rPr>
      </w:pPr>
      <w:r>
        <w:rPr>
          <w:rFonts w:hint="eastAsia" w:eastAsia="仿宋_GB2312"/>
          <w:kern w:val="2"/>
          <w:sz w:val="32"/>
          <w:szCs w:val="32"/>
        </w:rPr>
        <w:t>2、根据市、区重点工作安排，加大对项目攻坚，控违拆违，强保障惠民生促发展等方面的资金投入。密切联系、服务群众，妥善处理群众来信来访、化解社会矛盾，完善社区基础设施建设和服务配套设施，积极争创特色街道、社区。</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仿宋_GB2312"/>
          <w:kern w:val="2"/>
          <w:sz w:val="32"/>
          <w:szCs w:val="32"/>
        </w:rPr>
      </w:pPr>
      <w:r>
        <w:rPr>
          <w:rFonts w:hint="eastAsia" w:eastAsia="仿宋_GB2312"/>
          <w:kern w:val="2"/>
          <w:sz w:val="32"/>
          <w:szCs w:val="32"/>
        </w:rPr>
        <w:t>3、单位建立健全项目建设工作的领导、组织机构，项目建设工作由党政会议集体研究决定，由分管领导具体负责实施。项目招投标按照招投标管理办法进行公开招投标，实行公开、公平竞争。财政资金管理遵循专用原则，严格按照批准的项目预算执行，并按照合同约定和工程价款结算程序支付工程款。对已具备竣工验收条件的项目，及时组织验收、移交使用，及时编报竣工财务决算。同时加强对项目的监督管理，采取事前、事中、事后相结合，日常监督和专项监督相结合的方式，对项目财务行为实施全过程监督管理。</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b/>
          <w:bCs/>
        </w:rPr>
      </w:pPr>
      <w:r>
        <w:rPr>
          <w:rFonts w:hint="eastAsia"/>
          <w:b/>
          <w:bCs/>
        </w:rPr>
        <w:t>（2）绩效情况</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b w:val="0"/>
          <w:szCs w:val="32"/>
        </w:rPr>
      </w:pPr>
      <w:r>
        <w:rPr>
          <w:rFonts w:hint="eastAsia" w:eastAsia="仿宋_GB2312"/>
          <w:b w:val="0"/>
          <w:szCs w:val="32"/>
        </w:rPr>
        <w:t>1、夯实“主阵地”，让党建工作“强”起来。</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Cs w:val="32"/>
        </w:rPr>
      </w:pPr>
      <w:r>
        <w:rPr>
          <w:rFonts w:hint="eastAsia" w:eastAsia="仿宋_GB2312"/>
          <w:szCs w:val="32"/>
        </w:rPr>
        <w:t>全面推进党史学习教育。结合“三进三访三问”，大力开展“我为群众办实事”活动，今年4月，街道积极为辖区特困家庭争取爱心企业捐款，并组织开展爱心捐助活动，缓解其就医负担。创新开展董办“习思妙语”每日学、红色讲堂、薪火相传——快板颂党史等特色活动，树起“凤凰山下党旗红”党建工作一面旗，得到株洲党建、株洲电视台和株洲晚报等相关媒体推介报道。抓实村（社区）“两委”换届工作。顺利完成了14个村（社区）“两委”换届，班子素质大幅提升，党员群众满意率较高。抓好党建特色品牌建设。积极探索“小区党建12345”新模式，打造了“南山村幸福里”小区党建特色品牌，党建引领系列工作获湖南日报等媒体推介报道，挂牌成立了两个“金秋老党员之家”，街道机关退休支部获评市示范退休党支部，南沿社区南山村小区党支部获评全市“四星级小区党支部”。为辖区1300多位党龄50年以上的退休老党员颁发纪念章，拍摄的“光荣在党50年，我想对党说”宣传片，作为100个优秀短视频作品第一位在全市推介。</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b w:val="0"/>
          <w:szCs w:val="32"/>
        </w:rPr>
      </w:pPr>
      <w:r>
        <w:rPr>
          <w:rFonts w:hint="eastAsia" w:eastAsia="仿宋_GB2312"/>
          <w:b w:val="0"/>
          <w:szCs w:val="32"/>
        </w:rPr>
        <w:t>2、把控“主战场”，让疫情防控“稳”起来。</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Cs w:val="32"/>
        </w:rPr>
      </w:pPr>
      <w:r>
        <w:rPr>
          <w:rFonts w:hint="eastAsia" w:eastAsia="仿宋_GB2312"/>
          <w:szCs w:val="32"/>
        </w:rPr>
        <w:t>今年“德尔塔”袭击株洲，街道继续坚持把疫情防控作为重大政治任务抓实抓细。压实疫情防控责任。第一时间成立疫情防控工作领导小组，班子成员坚持一日一调度，召开近20次紧急调度会。创新宣传方式。根据疫情形势走向，针对辖区无物业管理小区多这一实情，灵活调整工作方案，发挥小喇叭的“大作用”，不间断播放疫情防控知识、“居家令”、核酸采集等公告通知，打通疫情防控宣传的“最后一公里”。加大疫情摸排力度。第一时间摸排中高风险地区来董返董人员，共排查出疫情关联人员737人。三轮核酸检测共计完成14.1万余人次，检测现场采用“S”型布局严格控制人流量，严格落实“一米线”、量体温、验双码等防控措施，检测流程获得湖南卫视报道、新华社“点赞”推荐。筑牢全民免疫屏障。扎实推进疫苗接种工作，12岁以上新冠病毒疫苗接种达50786剂，全程接种率为91%，接种完成率在全区排名前列。</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b w:val="0"/>
          <w:szCs w:val="32"/>
          <w:lang w:eastAsia="zh-CN"/>
        </w:rPr>
      </w:pPr>
      <w:r>
        <w:rPr>
          <w:rFonts w:hint="eastAsia" w:eastAsia="仿宋_GB2312"/>
          <w:b w:val="0"/>
          <w:szCs w:val="32"/>
        </w:rPr>
        <w:t>3、畅通“主动脉”，让项目建设“快”起来</w:t>
      </w:r>
      <w:r>
        <w:rPr>
          <w:rFonts w:hint="eastAsia" w:eastAsia="仿宋_GB2312"/>
          <w:b w:val="0"/>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rPr>
        <w:t>街道严格按区委、区政府要求，统筹协调推动完成各项项目征拆和新建工作。南方中学配套地块项目。南方中学配套地块一项目系我区重点项目，涉征土地51亩，近期，街道已完成了所有村组土地签约等工作，正在办理征地交地手续。高家坳变电站项目。高家坳变电站项目涉征土地18亩、涉征房屋3栋，今年2月已办理交地手续，为项目如期完工做好保驾护航。航展路、千亿大道延伸段项目。航展路、千亿大道延伸段等项目均已配合业主单位完成项目前期工作，待业主单位报批完成后即可启动征拆工作。今年5月，完成了科创园项目二期土地款分配工作，将集体土地款组织分配至个人，化解了项目周边矛盾。</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b w:val="0"/>
          <w:szCs w:val="32"/>
          <w:lang w:eastAsia="zh-CN"/>
        </w:rPr>
      </w:pPr>
      <w:r>
        <w:rPr>
          <w:rFonts w:hint="eastAsia" w:eastAsia="仿宋_GB2312"/>
          <w:b w:val="0"/>
          <w:szCs w:val="32"/>
        </w:rPr>
        <w:t>4、助推“主引擎”，让社会民生“燃”起来</w:t>
      </w:r>
      <w:r>
        <w:rPr>
          <w:rFonts w:hint="eastAsia" w:eastAsia="仿宋_GB2312"/>
          <w:b w:val="0"/>
          <w:szCs w:val="32"/>
          <w:lang w:eastAsia="zh-CN"/>
        </w:rPr>
        <w:t>。</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Cs w:val="32"/>
        </w:rPr>
      </w:pPr>
      <w:r>
        <w:rPr>
          <w:rFonts w:hint="eastAsia" w:eastAsia="仿宋_GB2312"/>
          <w:szCs w:val="32"/>
        </w:rPr>
        <w:t>围绕学位、车位、交通、厕位、就业等群众关切、社会关注的民生热点难点问题，积极主动开展一系列民生实事工作，不断增强群众的获得感、幸福感和安全感。打造优质教育新高地。做到学有优教，助力南方中学搬迁新校区、淞南中学搬至南方中学旧址，南方三小分部扩展至原淞南中学，调优教育资源布局结构。大力推进片区综合提质改造。联合交警、城管等单位联合开展交通整治执法行动近百次，同时协调辖区央企利用厂区余地新增停车泊位300个，利用街角余地新增非机动车停车位100余个，切实缓解停车难题。做好退管人员服务工作。积极对接企业社会化管理移交工作，街道共接收社会化管理人员9842人，并建立退休人员管理台帐，进行动态管理。实施“精准就业”服务工作。今年以来街道组织6所职业培训学校开展免费职业技能培训10余期，培训学员300余人，已经顺利实现就业或创业的有270余人。街道新增就业1358人，完成全年目标任务的100%；城镇登记失业率3.65%，新增农村劳动力转移就业153人。</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b w:val="0"/>
          <w:szCs w:val="32"/>
          <w:lang w:eastAsia="zh-CN"/>
        </w:rPr>
      </w:pPr>
      <w:r>
        <w:rPr>
          <w:rFonts w:hint="eastAsia" w:eastAsia="仿宋_GB2312"/>
          <w:b w:val="0"/>
          <w:szCs w:val="32"/>
        </w:rPr>
        <w:t>5、唱响“主旋律”，让生态环境“美”起来</w:t>
      </w:r>
      <w:r>
        <w:rPr>
          <w:rFonts w:hint="eastAsia" w:eastAsia="仿宋_GB2312"/>
          <w:b w:val="0"/>
          <w:szCs w:val="32"/>
          <w:lang w:eastAsia="zh-CN"/>
        </w:rPr>
        <w:t>。</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Cs w:val="32"/>
        </w:rPr>
      </w:pPr>
      <w:r>
        <w:rPr>
          <w:rFonts w:hint="eastAsia" w:eastAsia="仿宋_GB2312"/>
          <w:szCs w:val="32"/>
        </w:rPr>
        <w:t>做好国文、国卫工作。借助平安夜巡、民调走访等载体，通过悬挂宣传横幅、发放宣传资料、开展专题讲座、举办知识竞赛等形式，提高辖区群众对国文、国卫工作的知晓率和支持率，营造良好氛围。今年，街道获评株洲市创建全国文明城市工作突出贡献单位。高质量推进“厕所革命”。今年街道加快推进农村卫生厕所改造步伐，目前已基本完成改造任务100户，有效改善了农村卫生条件。持续改善人居环境。引导居民、门店、企业落实“门前三包”，发动党员、志愿者积极参与公共区域垃圾清洁行动。同时，展现妇联巾帼队伍风采，引导村民改变农村陋习，为街道“三清一改”行动提供“最美动力”。全民参与护河行动。认真开展以“坚持节水优先，建设幸福河湖”为主题宣传活动，发动广大群众积极参与河湖管理保护，持续治理和改善街道水生态环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楷体_GB2312"/>
          <w:b/>
          <w:sz w:val="32"/>
          <w:szCs w:val="32"/>
        </w:rPr>
      </w:pPr>
      <w:r>
        <w:rPr>
          <w:rFonts w:hint="eastAsia" w:eastAsia="楷体_GB2312"/>
          <w:b/>
          <w:sz w:val="32"/>
          <w:szCs w:val="32"/>
        </w:rPr>
        <w:t>（二）专项资金支出绩效情况</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rPr>
        <w:t>我单位对专项</w:t>
      </w:r>
      <w:r>
        <w:t>资金使用符合国家财经法规和财务管理以及有关专项资金管理办法的规定；资金的拨付有完整的审批程序和手续；项目的重大开支经过评估认证，符合项目预算批复或合同规定的用途；不存在截留、挤占、挪用、虚列支出等情况。保障会计核算准确、账务资料完整。</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Cs w:val="32"/>
          <w:lang w:eastAsia="zh-CN"/>
        </w:rPr>
      </w:pPr>
      <w:r>
        <w:rPr>
          <w:rFonts w:hint="eastAsia"/>
          <w:lang w:val="en-US" w:eastAsia="zh-CN"/>
        </w:rPr>
        <w:t>2021年度，街道</w:t>
      </w:r>
      <w:r>
        <w:rPr>
          <w:rFonts w:hint="eastAsia" w:eastAsia="仿宋_GB2312"/>
          <w:szCs w:val="32"/>
        </w:rPr>
        <w:t>认真开展以“坚持节水优先，建设幸福河湖”为主题宣传活动，发动广大群众积极参与河湖管理保护，持续治理和改善街道水生态环境。</w:t>
      </w:r>
      <w:r>
        <w:rPr>
          <w:rFonts w:hint="eastAsia"/>
          <w:szCs w:val="32"/>
          <w:lang w:val="en-US" w:eastAsia="zh-CN"/>
        </w:rPr>
        <w:t>共计排查出黑臭水体共14条，排污口43个，</w:t>
      </w:r>
      <w:r>
        <w:rPr>
          <w:rFonts w:hint="eastAsia" w:eastAsia="仿宋_GB2312"/>
          <w:szCs w:val="32"/>
        </w:rPr>
        <w:t>通过控源截污、内源治理、生态修复、活水保质等措施系统治理</w:t>
      </w:r>
      <w:r>
        <w:rPr>
          <w:rFonts w:hint="eastAsia" w:eastAsia="仿宋_GB2312"/>
          <w:szCs w:val="32"/>
          <w:lang w:eastAsia="zh-CN"/>
        </w:rPr>
        <w:t>，</w:t>
      </w:r>
      <w:r>
        <w:rPr>
          <w:rFonts w:hint="eastAsia" w:eastAsia="仿宋_GB2312"/>
          <w:szCs w:val="32"/>
        </w:rPr>
        <w:t>让昔日臭水渠逐渐变了模样</w:t>
      </w:r>
      <w:r>
        <w:rPr>
          <w:rFonts w:hint="eastAsia" w:eastAsia="仿宋_GB2312"/>
          <w:szCs w:val="32"/>
          <w:lang w:eastAsia="zh-CN"/>
        </w:rPr>
        <w:t>。</w:t>
      </w:r>
      <w:r>
        <w:rPr>
          <w:rFonts w:hint="eastAsia"/>
          <w:szCs w:val="32"/>
          <w:lang w:val="en-US" w:eastAsia="zh-CN"/>
        </w:rPr>
        <w:t>同时，</w:t>
      </w:r>
      <w:r>
        <w:rPr>
          <w:rFonts w:hint="eastAsia" w:eastAsia="仿宋_GB2312"/>
          <w:szCs w:val="32"/>
        </w:rPr>
        <w:t>街道加快推进农村卫生厕所改造步伐，目前已基本完成改造任务100户，有效改善了农村卫生条件。持续改善人居环境。引导居民、门店、企业落实“门前三包”，发动党员、志愿者积极参与公共区域垃圾清洁行动。同时，展现妇联巾帼队伍风采，引导村民改变农村陋习，为街道“三清一改”行动提供“最美动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2021年，街道投入社区网络化工作经费共计240余万元，涉及社区10余个，坚持以科学发展观为统领，组织机关、社区干部深入基层，联系群众，充分了解群众的意见和要求，依托现有的社区管理体系和信息平台，构建“街道</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社区</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小区</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楼栋</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居民”的五级网络组织体系，按照界限清晰、任务适当、责任明确、便于考核的原则，将社区范围划分为若干个区域网格，以网格化的方式，建立网格管理服务队伍，将社区每名工作者落实到每一个区域，以片带面，以面带块，上下联动，资源共享，活动共办，着力解决群众反映强烈和影响社会和谐稳定的突出问题，形成全面掌握实情、及时反映民情、迅速解决问题、有效化解矛盾的社区管理服务长效机制。</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Cs w:val="32"/>
        </w:rPr>
      </w:pPr>
      <w:r>
        <w:rPr>
          <w:rFonts w:hint="eastAsia" w:eastAsia="仿宋_GB2312"/>
          <w:szCs w:val="32"/>
        </w:rPr>
        <w:t>围绕学位、车位、交通、厕位、就业等群众关切、社会关注的民生热点难点问题，积极主动开展一系列民生实事工作，不断增强群众的获得感、幸福感和安全感。打造优质教育新高地。做到学有优教，助力南方中学搬迁新校区、淞南中学搬至南方中学旧址，南方三小分部扩展至原淞南中学，调优教育资源布局结构。大力推进片区综合提质改造。联合交警、城管等单位联合开展交通整治执法行动近百次，同时协调辖区央企利用厂区余地新增停车泊位300个，利用街角余地新增非机动车停车位100余个，切实缓解停车难题。做好退管人员服务工作。积极对接企业社会化管理移交工作，街道共接收社会化管理人员9842人，并建立退休人员管理台帐，进行动态管理。实施“精准就业”服务工作。今年以来街道组织6所职业培训学校开展免费职业技能培训10余期，培训学员300余人，已经顺利实现就业或创业的有270余人。街道新增就业1358人，完成全年目标任务的100%；城镇登记失业率3.65%，新增农村劳动力转移就业153人。</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仿宋_GB2312"/>
          <w:kern w:val="2"/>
          <w:sz w:val="32"/>
          <w:szCs w:val="32"/>
        </w:rPr>
      </w:pPr>
      <w:r>
        <w:rPr>
          <w:rFonts w:hint="eastAsia" w:eastAsia="仿宋_GB2312"/>
          <w:kern w:val="2"/>
          <w:sz w:val="32"/>
          <w:szCs w:val="32"/>
        </w:rPr>
        <w:t>2021年度我单位全体干部职工</w:t>
      </w:r>
      <w:r>
        <w:rPr>
          <w:rFonts w:eastAsia="仿宋_GB2312"/>
          <w:kern w:val="2"/>
          <w:sz w:val="32"/>
          <w:szCs w:val="32"/>
        </w:rPr>
        <w:t>苦干实干</w:t>
      </w:r>
      <w:r>
        <w:rPr>
          <w:rFonts w:hint="eastAsia" w:eastAsia="仿宋_GB2312"/>
          <w:kern w:val="2"/>
          <w:sz w:val="32"/>
          <w:szCs w:val="32"/>
        </w:rPr>
        <w:t>、</w:t>
      </w:r>
      <w:r>
        <w:rPr>
          <w:rFonts w:eastAsia="仿宋_GB2312"/>
          <w:kern w:val="2"/>
          <w:sz w:val="32"/>
          <w:szCs w:val="32"/>
        </w:rPr>
        <w:t>主动作为，一心一意谋发展，全力以赴抓项目，实现了经济平稳健康发展。坚持</w:t>
      </w:r>
      <w:r>
        <w:rPr>
          <w:rFonts w:hint="eastAsia" w:eastAsia="仿宋_GB2312"/>
          <w:kern w:val="2"/>
          <w:sz w:val="32"/>
          <w:szCs w:val="32"/>
        </w:rPr>
        <w:t>“</w:t>
      </w:r>
      <w:r>
        <w:rPr>
          <w:rFonts w:eastAsia="仿宋_GB2312"/>
          <w:kern w:val="2"/>
          <w:sz w:val="32"/>
          <w:szCs w:val="32"/>
        </w:rPr>
        <w:t>以人民为中心的发展思想</w:t>
      </w:r>
      <w:r>
        <w:rPr>
          <w:rFonts w:hint="eastAsia" w:eastAsia="仿宋_GB2312"/>
          <w:kern w:val="2"/>
          <w:sz w:val="32"/>
          <w:szCs w:val="32"/>
        </w:rPr>
        <w:t>”</w:t>
      </w:r>
      <w:r>
        <w:rPr>
          <w:rFonts w:eastAsia="仿宋_GB2312"/>
          <w:kern w:val="2"/>
          <w:sz w:val="32"/>
          <w:szCs w:val="32"/>
        </w:rPr>
        <w:t>，着力解决了一批群众关心的热点难点问题，努力让人民群众享有更高水平的物质生活，更高层次的公共服务，更高质量的</w:t>
      </w:r>
      <w:r>
        <w:rPr>
          <w:rFonts w:hint="eastAsia" w:eastAsia="仿宋_GB2312"/>
          <w:kern w:val="2"/>
          <w:sz w:val="32"/>
          <w:szCs w:val="32"/>
        </w:rPr>
        <w:t>宜居环境</w:t>
      </w:r>
      <w:r>
        <w:rPr>
          <w:rFonts w:eastAsia="仿宋_GB2312"/>
          <w:kern w:val="2"/>
          <w:sz w:val="32"/>
          <w:szCs w:val="32"/>
        </w:rPr>
        <w:t>。</w:t>
      </w:r>
      <w:r>
        <w:rPr>
          <w:rFonts w:hint="eastAsia" w:eastAsia="仿宋_GB2312"/>
          <w:kern w:val="2"/>
          <w:sz w:val="32"/>
          <w:szCs w:val="32"/>
        </w:rPr>
        <w:t>本次绩效自评评分91分。</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rPr>
        <w:t>1、绩效评价工作机制有待进一步完善，由于在平时工作中未加强对绩效监控工作的重视，绩效监控工作容易滞后。</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rPr>
        <w:t>2、预算编制工作有待细化。预算编制不够明确和细化，预算编制的合理性需要提高。预算执行力度还要进一步加强。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color w:val="FF0000"/>
          <w:sz w:val="32"/>
          <w:szCs w:val="32"/>
        </w:rPr>
      </w:pPr>
      <w:r>
        <w:rPr>
          <w:rFonts w:eastAsia="黑体"/>
          <w:color w:val="FF0000"/>
          <w:sz w:val="32"/>
          <w:szCs w:val="32"/>
        </w:rPr>
        <w:t>八、下一步改进措施</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FF0000"/>
        </w:rPr>
      </w:pPr>
      <w:r>
        <w:rPr>
          <w:rFonts w:hint="eastAsia"/>
          <w:color w:val="FF0000"/>
        </w:rPr>
        <w:t>1、加强组织领导，增强预算编制的准确性，提高对预算编制与执行的认识，让各部门了解绩效工作，为绩效评价工作开展创造好的条件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FF0000"/>
        </w:rPr>
      </w:pPr>
      <w:r>
        <w:rPr>
          <w:rFonts w:hint="eastAsia"/>
          <w:color w:val="FF0000"/>
        </w:rPr>
        <w:t>2、建立长效机制，加强绩效自评结果应用，使资金发挥最大效益。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color w:val="FF0000"/>
          <w:sz w:val="32"/>
          <w:szCs w:val="32"/>
        </w:rPr>
      </w:pPr>
      <w:r>
        <w:rPr>
          <w:rFonts w:eastAsia="黑体"/>
          <w:color w:val="FF0000"/>
          <w:sz w:val="32"/>
          <w:szCs w:val="32"/>
        </w:rPr>
        <w:t>九、绩效自评结果拟应用和公开情况</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FF0000"/>
        </w:rPr>
      </w:pPr>
      <w:r>
        <w:rPr>
          <w:rFonts w:hint="eastAsia"/>
          <w:color w:val="FF0000"/>
        </w:rPr>
        <w:t>我单位以绩效评价结果为导向，并通过资金使用效率的优化，降低服务成本，真正建立起服务型和效能型政府。</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FF0000"/>
        </w:rPr>
      </w:pPr>
      <w:r>
        <w:rPr>
          <w:rFonts w:hint="eastAsia" w:ascii="仿宋_GB2312" w:hAnsi="宋体" w:eastAsia="仿宋_GB2312"/>
          <w:color w:val="FF0000"/>
          <w:sz w:val="32"/>
          <w:szCs w:val="32"/>
        </w:rPr>
        <w:t>本单位没有独立网站，</w:t>
      </w:r>
      <w:r>
        <w:rPr>
          <w:rFonts w:hint="eastAsia" w:ascii="仿宋_GB2312" w:hAnsi="宋体" w:eastAsia="仿宋_GB2312" w:cs="仿宋_GB2312"/>
          <w:color w:val="FF0000"/>
          <w:kern w:val="0"/>
          <w:sz w:val="31"/>
          <w:szCs w:val="31"/>
          <w:lang w:val="en-US" w:eastAsia="zh-CN" w:bidi="ar"/>
        </w:rPr>
        <w:t>此次绩效自评报告</w:t>
      </w:r>
      <w:r>
        <w:rPr>
          <w:rFonts w:hint="eastAsia"/>
          <w:color w:val="FF0000"/>
        </w:rPr>
        <w:t>按相关规定</w:t>
      </w:r>
      <w:r>
        <w:rPr>
          <w:rFonts w:hint="eastAsia" w:ascii="仿宋_GB2312" w:hAnsi="宋体" w:eastAsia="仿宋_GB2312" w:cs="仿宋_GB2312"/>
          <w:color w:val="FF0000"/>
          <w:kern w:val="0"/>
          <w:sz w:val="31"/>
          <w:szCs w:val="31"/>
          <w:lang w:val="en-US" w:eastAsia="zh-CN" w:bidi="ar"/>
        </w:rPr>
        <w:t>将与2021年部门决算一起</w:t>
      </w:r>
      <w:r>
        <w:rPr>
          <w:rFonts w:hint="eastAsia" w:ascii="仿宋_GB2312" w:hAnsi="宋体" w:eastAsia="仿宋_GB2312"/>
          <w:color w:val="FF0000"/>
          <w:sz w:val="32"/>
          <w:szCs w:val="32"/>
        </w:rPr>
        <w:t>在芦淞区政府</w:t>
      </w:r>
      <w:r>
        <w:rPr>
          <w:rFonts w:hint="eastAsia" w:ascii="仿宋_GB2312" w:hAnsi="宋体"/>
          <w:color w:val="FF0000"/>
          <w:sz w:val="32"/>
          <w:szCs w:val="32"/>
          <w:lang w:eastAsia="zh-CN"/>
        </w:rPr>
        <w:t>门户网</w:t>
      </w:r>
      <w:r>
        <w:rPr>
          <w:rFonts w:hint="eastAsia" w:ascii="仿宋_GB2312" w:hAnsi="宋体" w:eastAsia="仿宋_GB2312"/>
          <w:color w:val="FF0000"/>
          <w:sz w:val="32"/>
          <w:szCs w:val="32"/>
        </w:rPr>
        <w:t>信息公开专栏中公开</w:t>
      </w:r>
      <w:r>
        <w:rPr>
          <w:rFonts w:hint="eastAsia"/>
          <w:color w:val="FF0000"/>
        </w:rPr>
        <w:t>。</w:t>
      </w:r>
    </w:p>
    <w:p>
      <w:pPr>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eastAsia="黑体"/>
          <w:sz w:val="32"/>
          <w:szCs w:val="32"/>
        </w:rPr>
      </w:pPr>
      <w:r>
        <w:rPr>
          <w:rFonts w:eastAsia="黑体"/>
          <w:sz w:val="32"/>
          <w:szCs w:val="32"/>
        </w:rPr>
        <w:t>其他需要说明的情况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eastAsia="黑体"/>
          <w:sz w:val="32"/>
          <w:szCs w:val="32"/>
        </w:rPr>
        <w:br w:type="page"/>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6225B"/>
    <w:multiLevelType w:val="singleLevel"/>
    <w:tmpl w:val="98C6225B"/>
    <w:lvl w:ilvl="0" w:tentative="0">
      <w:start w:val="10"/>
      <w:numFmt w:val="chineseCounting"/>
      <w:suff w:val="nothing"/>
      <w:lvlText w:val="%1、"/>
      <w:lvlJc w:val="left"/>
      <w:rPr>
        <w:rFonts w:hint="eastAsia"/>
      </w:rPr>
    </w:lvl>
  </w:abstractNum>
  <w:abstractNum w:abstractNumId="1">
    <w:nsid w:val="B3D870C9"/>
    <w:multiLevelType w:val="singleLevel"/>
    <w:tmpl w:val="B3D870C9"/>
    <w:lvl w:ilvl="0" w:tentative="0">
      <w:start w:val="3"/>
      <w:numFmt w:val="chineseCounting"/>
      <w:suff w:val="nothing"/>
      <w:lvlText w:val="%1、"/>
      <w:lvlJc w:val="left"/>
      <w:rPr>
        <w:rFonts w:hint="eastAsia"/>
      </w:rPr>
    </w:lvl>
  </w:abstractNum>
  <w:abstractNum w:abstractNumId="2">
    <w:nsid w:val="29487ED9"/>
    <w:multiLevelType w:val="singleLevel"/>
    <w:tmpl w:val="29487ED9"/>
    <w:lvl w:ilvl="0" w:tentative="0">
      <w:start w:val="1"/>
      <w:numFmt w:val="decimal"/>
      <w:suff w:val="nothing"/>
      <w:lvlText w:val="%1、"/>
      <w:lvlJc w:val="left"/>
    </w:lvl>
  </w:abstractNum>
  <w:abstractNum w:abstractNumId="3">
    <w:nsid w:val="2E39810D"/>
    <w:multiLevelType w:val="singleLevel"/>
    <w:tmpl w:val="2E39810D"/>
    <w:lvl w:ilvl="0" w:tentative="0">
      <w:start w:val="2"/>
      <w:numFmt w:val="chineseCounting"/>
      <w:suff w:val="nothing"/>
      <w:lvlText w:val="（%1）"/>
      <w:lvlJc w:val="left"/>
      <w:rPr>
        <w:rFonts w:hint="eastAsia"/>
      </w:rPr>
    </w:lvl>
  </w:abstractNum>
  <w:abstractNum w:abstractNumId="4">
    <w:nsid w:val="4890FF15"/>
    <w:multiLevelType w:val="singleLevel"/>
    <w:tmpl w:val="4890FF15"/>
    <w:lvl w:ilvl="0" w:tentative="0">
      <w:start w:val="2"/>
      <w:numFmt w:val="chineseCounting"/>
      <w:suff w:val="nothing"/>
      <w:lvlText w:val="（%1）"/>
      <w:lvlJc w:val="left"/>
      <w:rPr>
        <w:rFonts w:hint="eastAsia"/>
      </w:rPr>
    </w:lvl>
  </w:abstractNum>
  <w:abstractNum w:abstractNumId="5">
    <w:nsid w:val="6AD6DF5E"/>
    <w:multiLevelType w:val="singleLevel"/>
    <w:tmpl w:val="6AD6DF5E"/>
    <w:lvl w:ilvl="0" w:tentative="0">
      <w:start w:val="1"/>
      <w:numFmt w:val="decimal"/>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YwZGVjMjRiMjI1ODA0ZDFlNjdlNTY2ZjczZjQ4ZDMifQ=="/>
  </w:docVars>
  <w:rsids>
    <w:rsidRoot w:val="0072029D"/>
    <w:rsid w:val="00004E70"/>
    <w:rsid w:val="00082CF6"/>
    <w:rsid w:val="00207FA3"/>
    <w:rsid w:val="00260499"/>
    <w:rsid w:val="00452E53"/>
    <w:rsid w:val="005A433C"/>
    <w:rsid w:val="00610E11"/>
    <w:rsid w:val="006A2CA0"/>
    <w:rsid w:val="0072029D"/>
    <w:rsid w:val="008C62A7"/>
    <w:rsid w:val="00A56C8A"/>
    <w:rsid w:val="00AF177E"/>
    <w:rsid w:val="00CE74D2"/>
    <w:rsid w:val="00D5092F"/>
    <w:rsid w:val="00E55161"/>
    <w:rsid w:val="00EC6867"/>
    <w:rsid w:val="00FE50E7"/>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5EA4293"/>
    <w:rsid w:val="1627453B"/>
    <w:rsid w:val="17197045"/>
    <w:rsid w:val="171A5E9D"/>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3013693"/>
    <w:rsid w:val="243235AA"/>
    <w:rsid w:val="24B10BAC"/>
    <w:rsid w:val="24D2061D"/>
    <w:rsid w:val="251132F3"/>
    <w:rsid w:val="253C38DE"/>
    <w:rsid w:val="25B24E22"/>
    <w:rsid w:val="262B4FF6"/>
    <w:rsid w:val="264810A7"/>
    <w:rsid w:val="265A7CC8"/>
    <w:rsid w:val="27014400"/>
    <w:rsid w:val="271B2298"/>
    <w:rsid w:val="276D0D8C"/>
    <w:rsid w:val="286C33CA"/>
    <w:rsid w:val="28E4125D"/>
    <w:rsid w:val="2974604E"/>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1EE5732"/>
    <w:rsid w:val="32D24F00"/>
    <w:rsid w:val="32D963A9"/>
    <w:rsid w:val="32ED21B4"/>
    <w:rsid w:val="331926DE"/>
    <w:rsid w:val="35124AFB"/>
    <w:rsid w:val="35164EC9"/>
    <w:rsid w:val="35EE1AE6"/>
    <w:rsid w:val="36216ACD"/>
    <w:rsid w:val="36AD5505"/>
    <w:rsid w:val="36DB24F1"/>
    <w:rsid w:val="37846C46"/>
    <w:rsid w:val="37904E67"/>
    <w:rsid w:val="3797204C"/>
    <w:rsid w:val="37A771FF"/>
    <w:rsid w:val="37B37AED"/>
    <w:rsid w:val="37EF7DFA"/>
    <w:rsid w:val="380A1D4B"/>
    <w:rsid w:val="387267B7"/>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9DE41BE"/>
    <w:rsid w:val="49EB28B8"/>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073296"/>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383915"/>
    <w:rsid w:val="65EB60C2"/>
    <w:rsid w:val="66022946"/>
    <w:rsid w:val="66A877C4"/>
    <w:rsid w:val="67303E4C"/>
    <w:rsid w:val="67347CE6"/>
    <w:rsid w:val="675A5E15"/>
    <w:rsid w:val="677549A9"/>
    <w:rsid w:val="67F2708D"/>
    <w:rsid w:val="68030691"/>
    <w:rsid w:val="689E76A5"/>
    <w:rsid w:val="68A7780B"/>
    <w:rsid w:val="68DB1AF2"/>
    <w:rsid w:val="68E0427F"/>
    <w:rsid w:val="68F75735"/>
    <w:rsid w:val="694757F4"/>
    <w:rsid w:val="6AF069C0"/>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5F7ECE"/>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0" w:leftChars="0" w:firstLine="420" w:firstLineChars="200"/>
    </w:pPr>
    <w:rPr>
      <w:rFonts w:eastAsia="仿宋_GB2312"/>
      <w:sz w:val="32"/>
      <w:szCs w:val="32"/>
    </w:rPr>
  </w:style>
  <w:style w:type="paragraph" w:styleId="3">
    <w:name w:val="Body Text Indent"/>
    <w:basedOn w:val="1"/>
    <w:unhideWhenUsed/>
    <w:qFormat/>
    <w:uiPriority w:val="99"/>
    <w:pPr>
      <w:spacing w:after="120"/>
      <w:ind w:left="420" w:leftChars="200"/>
    </w:p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株洲三级"/>
    <w:basedOn w:val="12"/>
    <w:qFormat/>
    <w:uiPriority w:val="0"/>
    <w:rPr>
      <w:rFonts w:eastAsia="方正仿宋_GBK"/>
      <w:b/>
    </w:rPr>
  </w:style>
  <w:style w:type="paragraph" w:customStyle="1" w:styleId="12">
    <w:name w:val="株洲二级"/>
    <w:basedOn w:val="13"/>
    <w:qFormat/>
    <w:uiPriority w:val="0"/>
    <w:pPr>
      <w:spacing w:line="600" w:lineRule="exact"/>
    </w:pPr>
    <w:rPr>
      <w:rFonts w:eastAsia="方正楷体_GBK"/>
    </w:rPr>
  </w:style>
  <w:style w:type="paragraph" w:customStyle="1" w:styleId="13">
    <w:name w:val="株洲一级"/>
    <w:basedOn w:val="14"/>
    <w:qFormat/>
    <w:uiPriority w:val="0"/>
    <w:pPr>
      <w:spacing w:line="700" w:lineRule="exact"/>
    </w:pPr>
    <w:rPr>
      <w:rFonts w:eastAsia="方正黑体_GBK"/>
    </w:rPr>
  </w:style>
  <w:style w:type="paragraph" w:customStyle="1" w:styleId="14">
    <w:name w:val="株洲正文"/>
    <w:basedOn w:val="15"/>
    <w:qFormat/>
    <w:uiPriority w:val="0"/>
    <w:pPr>
      <w:ind w:firstLine="200" w:firstLineChars="200"/>
      <w:jc w:val="both"/>
    </w:pPr>
    <w:rPr>
      <w:rFonts w:eastAsia="方正仿宋_GBK"/>
    </w:rPr>
  </w:style>
  <w:style w:type="paragraph" w:customStyle="1" w:styleId="15">
    <w:name w:val="科室时间"/>
    <w:basedOn w:val="16"/>
    <w:qFormat/>
    <w:uiPriority w:val="0"/>
    <w:pPr>
      <w:spacing w:line="600" w:lineRule="exact"/>
      <w:jc w:val="center"/>
    </w:pPr>
    <w:rPr>
      <w:sz w:val="32"/>
    </w:rPr>
  </w:style>
  <w:style w:type="paragraph" w:customStyle="1" w:styleId="16">
    <w:name w:val="向...汇报"/>
    <w:basedOn w:val="1"/>
    <w:qFormat/>
    <w:uiPriority w:val="0"/>
    <w:pPr>
      <w:spacing w:line="700" w:lineRule="exact"/>
      <w:jc w:val="left"/>
    </w:pPr>
    <w:rPr>
      <w:rFonts w:eastAsia="方正楷体_GBK"/>
      <w:sz w:val="28"/>
    </w:rPr>
  </w:style>
  <w:style w:type="character" w:customStyle="1" w:styleId="17">
    <w:name w:val="页眉 Char"/>
    <w:basedOn w:val="9"/>
    <w:link w:val="6"/>
    <w:qFormat/>
    <w:uiPriority w:val="0"/>
    <w:rPr>
      <w:rFonts w:ascii="Times New Roman" w:hAnsi="Times New Roman" w:eastAsia="宋体" w:cs="Times New Roman"/>
      <w:kern w:val="2"/>
      <w:sz w:val="18"/>
      <w:szCs w:val="18"/>
    </w:rPr>
  </w:style>
  <w:style w:type="character" w:customStyle="1" w:styleId="18">
    <w:name w:val="页脚 Char"/>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4633</Words>
  <Characters>4838</Characters>
  <Lines>27</Lines>
  <Paragraphs>7</Paragraphs>
  <TotalTime>1</TotalTime>
  <ScaleCrop>false</ScaleCrop>
  <LinksUpToDate>false</LinksUpToDate>
  <CharactersWithSpaces>4842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2022-09-22T08:39:00Z</dcterms:created>
  <dc:creator>Administrator.BF-20190731HTSG</dc:creator>
  <cp:lastModifiedBy>Administrator</cp:lastModifiedBy>
  <dcterms:modified xsi:type="dcterms:W3CDTF">2022-12-07T03:19:49Z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