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560" w:lineRule="exact"/>
        <w:ind w:firstLine="960" w:firstLineChars="200"/>
        <w:jc w:val="both"/>
        <w:textAlignment w:val="auto"/>
        <w:rPr>
          <w:rFonts w:eastAsia="方正小标宋_GBK"/>
          <w:sz w:val="48"/>
          <w:szCs w:val="48"/>
        </w:rPr>
      </w:pPr>
    </w:p>
    <w:p>
      <w:pPr>
        <w:keepNext w:val="0"/>
        <w:keepLines w:val="0"/>
        <w:pageBreakBefore w:val="0"/>
        <w:widowControl w:val="0"/>
        <w:kinsoku/>
        <w:wordWrap/>
        <w:overflowPunct/>
        <w:topLinePunct w:val="0"/>
        <w:autoSpaceDE/>
        <w:autoSpaceDN/>
        <w:bidi w:val="0"/>
        <w:adjustRightInd/>
        <w:snapToGrid/>
        <w:spacing w:line="560" w:lineRule="exact"/>
        <w:ind w:leftChars="0" w:firstLine="880" w:firstLineChars="200"/>
        <w:jc w:val="center"/>
        <w:textAlignment w:val="auto"/>
        <w:rPr>
          <w:rFonts w:hint="default" w:ascii="Times New Roman" w:hAnsi="Times New Roman" w:eastAsia="方正小标宋简体" w:cs="Times New Roman"/>
          <w:color w:val="000000" w:themeColor="text1"/>
          <w:sz w:val="44"/>
          <w:szCs w:val="44"/>
          <w:lang w:val="en-US" w:eastAsia="zh-CN"/>
        </w:rPr>
      </w:pPr>
      <w:r>
        <w:rPr>
          <w:rFonts w:hint="default" w:ascii="Times New Roman" w:hAnsi="Times New Roman" w:eastAsia="方正小标宋简体" w:cs="Times New Roman"/>
          <w:color w:val="000000" w:themeColor="text1"/>
          <w:sz w:val="44"/>
          <w:szCs w:val="44"/>
          <w:lang w:val="en-US" w:eastAsia="zh-CN"/>
        </w:rPr>
        <w:t>2021年度</w:t>
      </w:r>
      <w:r>
        <w:rPr>
          <w:rFonts w:hint="eastAsia" w:ascii="Times New Roman" w:hAnsi="Times New Roman" w:eastAsia="方正小标宋简体" w:cs="Times New Roman"/>
          <w:color w:val="000000" w:themeColor="text1"/>
          <w:sz w:val="44"/>
          <w:szCs w:val="44"/>
          <w:lang w:val="en-US" w:eastAsia="zh-CN"/>
        </w:rPr>
        <w:t>株洲市芦淞区残疾人联合会</w:t>
      </w:r>
    </w:p>
    <w:p>
      <w:pPr>
        <w:keepNext w:val="0"/>
        <w:keepLines w:val="0"/>
        <w:pageBreakBefore w:val="0"/>
        <w:widowControl w:val="0"/>
        <w:kinsoku/>
        <w:wordWrap/>
        <w:overflowPunct/>
        <w:topLinePunct w:val="0"/>
        <w:autoSpaceDE/>
        <w:autoSpaceDN/>
        <w:bidi w:val="0"/>
        <w:adjustRightInd/>
        <w:snapToGrid/>
        <w:spacing w:line="560" w:lineRule="exact"/>
        <w:ind w:leftChars="0" w:firstLine="880" w:firstLineChars="200"/>
        <w:jc w:val="center"/>
        <w:textAlignment w:val="auto"/>
        <w:rPr>
          <w:rFonts w:hint="default" w:ascii="Times New Roman" w:hAnsi="Times New Roman" w:eastAsia="方正小标宋简体" w:cs="Times New Roman"/>
          <w:color w:val="000000" w:themeColor="text1"/>
          <w:sz w:val="44"/>
          <w:szCs w:val="44"/>
          <w:lang w:val="en-US" w:eastAsia="zh-CN"/>
        </w:rPr>
      </w:pPr>
      <w:r>
        <w:rPr>
          <w:rFonts w:hint="eastAsia" w:ascii="Times New Roman" w:hAnsi="Times New Roman" w:eastAsia="方正小标宋简体" w:cs="Times New Roman"/>
          <w:color w:val="000000" w:themeColor="text1"/>
          <w:sz w:val="44"/>
          <w:szCs w:val="44"/>
          <w:lang w:val="en-US" w:eastAsia="zh-CN"/>
        </w:rPr>
        <w:t>整体</w:t>
      </w:r>
      <w:r>
        <w:rPr>
          <w:rFonts w:hint="default" w:ascii="Times New Roman" w:hAnsi="Times New Roman" w:eastAsia="方正小标宋简体" w:cs="Times New Roman"/>
          <w:color w:val="000000" w:themeColor="text1"/>
          <w:sz w:val="44"/>
          <w:szCs w:val="44"/>
          <w:lang w:val="en-US" w:eastAsia="zh-CN"/>
        </w:rPr>
        <w:t>支出绩效自评报告</w:t>
      </w:r>
    </w:p>
    <w:p>
      <w:pPr>
        <w:keepNext w:val="0"/>
        <w:keepLines w:val="0"/>
        <w:pageBreakBefore w:val="0"/>
        <w:kinsoku/>
        <w:wordWrap/>
        <w:overflowPunct/>
        <w:topLinePunct w:val="0"/>
        <w:bidi w:val="0"/>
        <w:spacing w:line="560" w:lineRule="exact"/>
        <w:ind w:firstLine="640" w:firstLineChars="200"/>
        <w:jc w:val="both"/>
        <w:textAlignment w:val="auto"/>
        <w:rPr>
          <w:rFonts w:eastAsia="黑体"/>
          <w:sz w:val="32"/>
          <w:szCs w:val="32"/>
        </w:rPr>
      </w:pPr>
    </w:p>
    <w:p>
      <w:pPr>
        <w:keepNext w:val="0"/>
        <w:keepLines w:val="0"/>
        <w:pageBreakBefore w:val="0"/>
        <w:kinsoku/>
        <w:wordWrap/>
        <w:overflowPunct/>
        <w:topLinePunct w:val="0"/>
        <w:bidi w:val="0"/>
        <w:spacing w:line="560" w:lineRule="exact"/>
        <w:ind w:firstLine="640" w:firstLineChars="200"/>
        <w:jc w:val="both"/>
        <w:textAlignment w:val="auto"/>
        <w:rPr>
          <w:rFonts w:eastAsia="黑体"/>
          <w:sz w:val="32"/>
          <w:szCs w:val="32"/>
        </w:rPr>
      </w:pPr>
    </w:p>
    <w:p>
      <w:pPr>
        <w:keepNext w:val="0"/>
        <w:keepLines w:val="0"/>
        <w:pageBreakBefore w:val="0"/>
        <w:kinsoku/>
        <w:wordWrap/>
        <w:overflowPunct/>
        <w:topLinePunct w:val="0"/>
        <w:bidi w:val="0"/>
        <w:spacing w:line="560" w:lineRule="exact"/>
        <w:ind w:firstLine="640" w:firstLineChars="200"/>
        <w:jc w:val="both"/>
        <w:textAlignment w:val="auto"/>
        <w:rPr>
          <w:rFonts w:eastAsia="黑体"/>
          <w:sz w:val="32"/>
          <w:szCs w:val="32"/>
        </w:rPr>
      </w:pPr>
    </w:p>
    <w:p>
      <w:pPr>
        <w:keepNext w:val="0"/>
        <w:keepLines w:val="0"/>
        <w:pageBreakBefore w:val="0"/>
        <w:kinsoku/>
        <w:wordWrap/>
        <w:overflowPunct/>
        <w:topLinePunct w:val="0"/>
        <w:bidi w:val="0"/>
        <w:spacing w:line="560" w:lineRule="exact"/>
        <w:ind w:firstLine="640" w:firstLineChars="200"/>
        <w:jc w:val="both"/>
        <w:textAlignment w:val="auto"/>
        <w:rPr>
          <w:rFonts w:eastAsia="黑体"/>
          <w:sz w:val="32"/>
          <w:szCs w:val="32"/>
        </w:rPr>
      </w:pPr>
    </w:p>
    <w:p>
      <w:pPr>
        <w:keepNext w:val="0"/>
        <w:keepLines w:val="0"/>
        <w:pageBreakBefore w:val="0"/>
        <w:kinsoku/>
        <w:wordWrap/>
        <w:overflowPunct/>
        <w:topLinePunct w:val="0"/>
        <w:bidi w:val="0"/>
        <w:spacing w:line="560" w:lineRule="exact"/>
        <w:ind w:firstLine="640" w:firstLineChars="200"/>
        <w:jc w:val="both"/>
        <w:textAlignment w:val="auto"/>
        <w:rPr>
          <w:rFonts w:eastAsia="黑体"/>
          <w:sz w:val="32"/>
          <w:szCs w:val="32"/>
        </w:rPr>
      </w:pPr>
    </w:p>
    <w:p>
      <w:pPr>
        <w:keepNext w:val="0"/>
        <w:keepLines w:val="0"/>
        <w:pageBreakBefore w:val="0"/>
        <w:kinsoku/>
        <w:wordWrap/>
        <w:overflowPunct/>
        <w:topLinePunct w:val="0"/>
        <w:bidi w:val="0"/>
        <w:spacing w:line="560" w:lineRule="exact"/>
        <w:ind w:firstLine="640" w:firstLineChars="200"/>
        <w:jc w:val="both"/>
        <w:textAlignment w:val="auto"/>
        <w:rPr>
          <w:rFonts w:eastAsia="黑体"/>
          <w:sz w:val="32"/>
          <w:szCs w:val="32"/>
        </w:rPr>
      </w:pPr>
    </w:p>
    <w:p>
      <w:pPr>
        <w:keepNext w:val="0"/>
        <w:keepLines w:val="0"/>
        <w:pageBreakBefore w:val="0"/>
        <w:kinsoku/>
        <w:wordWrap/>
        <w:overflowPunct/>
        <w:topLinePunct w:val="0"/>
        <w:bidi w:val="0"/>
        <w:spacing w:line="560" w:lineRule="exact"/>
        <w:ind w:firstLine="640" w:firstLineChars="200"/>
        <w:jc w:val="both"/>
        <w:textAlignment w:val="auto"/>
        <w:rPr>
          <w:rFonts w:eastAsia="黑体"/>
          <w:sz w:val="32"/>
          <w:szCs w:val="32"/>
        </w:rPr>
      </w:pPr>
    </w:p>
    <w:p>
      <w:pPr>
        <w:keepNext w:val="0"/>
        <w:keepLines w:val="0"/>
        <w:pageBreakBefore w:val="0"/>
        <w:kinsoku/>
        <w:wordWrap/>
        <w:overflowPunct/>
        <w:topLinePunct w:val="0"/>
        <w:bidi w:val="0"/>
        <w:spacing w:line="560" w:lineRule="exact"/>
        <w:ind w:firstLine="640" w:firstLineChars="200"/>
        <w:jc w:val="both"/>
        <w:textAlignment w:val="auto"/>
        <w:rPr>
          <w:rFonts w:eastAsia="黑体"/>
          <w:sz w:val="32"/>
          <w:szCs w:val="32"/>
        </w:rPr>
      </w:pPr>
    </w:p>
    <w:p>
      <w:pPr>
        <w:keepNext w:val="0"/>
        <w:keepLines w:val="0"/>
        <w:pageBreakBefore w:val="0"/>
        <w:kinsoku/>
        <w:wordWrap/>
        <w:overflowPunct/>
        <w:topLinePunct w:val="0"/>
        <w:bidi w:val="0"/>
        <w:spacing w:line="560" w:lineRule="exact"/>
        <w:ind w:firstLine="640" w:firstLineChars="200"/>
        <w:jc w:val="both"/>
        <w:textAlignment w:val="auto"/>
        <w:rPr>
          <w:rFonts w:eastAsia="黑体"/>
          <w:sz w:val="32"/>
          <w:szCs w:val="32"/>
        </w:rPr>
      </w:pPr>
    </w:p>
    <w:p>
      <w:pPr>
        <w:keepNext w:val="0"/>
        <w:keepLines w:val="0"/>
        <w:pageBreakBefore w:val="0"/>
        <w:kinsoku/>
        <w:wordWrap/>
        <w:overflowPunct/>
        <w:topLinePunct w:val="0"/>
        <w:bidi w:val="0"/>
        <w:spacing w:line="560" w:lineRule="exact"/>
        <w:ind w:firstLine="640" w:firstLineChars="200"/>
        <w:jc w:val="both"/>
        <w:textAlignment w:val="auto"/>
        <w:rPr>
          <w:rFonts w:eastAsia="黑体"/>
          <w:sz w:val="32"/>
          <w:szCs w:val="32"/>
        </w:rPr>
      </w:pPr>
    </w:p>
    <w:p>
      <w:pPr>
        <w:keepNext w:val="0"/>
        <w:keepLines w:val="0"/>
        <w:pageBreakBefore w:val="0"/>
        <w:kinsoku/>
        <w:wordWrap/>
        <w:overflowPunct/>
        <w:topLinePunct w:val="0"/>
        <w:bidi w:val="0"/>
        <w:spacing w:line="560" w:lineRule="exact"/>
        <w:ind w:firstLine="640" w:firstLineChars="200"/>
        <w:jc w:val="both"/>
        <w:textAlignment w:val="auto"/>
        <w:rPr>
          <w:rFonts w:eastAsia="黑体"/>
          <w:sz w:val="32"/>
          <w:szCs w:val="32"/>
        </w:rPr>
      </w:pPr>
    </w:p>
    <w:p>
      <w:pPr>
        <w:keepNext w:val="0"/>
        <w:keepLines w:val="0"/>
        <w:pageBreakBefore w:val="0"/>
        <w:kinsoku/>
        <w:wordWrap/>
        <w:overflowPunct/>
        <w:topLinePunct w:val="0"/>
        <w:bidi w:val="0"/>
        <w:spacing w:line="560" w:lineRule="exact"/>
        <w:ind w:firstLine="640" w:firstLineChars="200"/>
        <w:jc w:val="both"/>
        <w:textAlignment w:val="auto"/>
        <w:rPr>
          <w:rFonts w:eastAsia="黑体"/>
          <w:sz w:val="32"/>
          <w:szCs w:val="32"/>
        </w:rPr>
      </w:pPr>
    </w:p>
    <w:p>
      <w:pPr>
        <w:keepNext w:val="0"/>
        <w:keepLines w:val="0"/>
        <w:pageBreakBefore w:val="0"/>
        <w:kinsoku/>
        <w:wordWrap/>
        <w:overflowPunct/>
        <w:topLinePunct w:val="0"/>
        <w:bidi w:val="0"/>
        <w:spacing w:line="560" w:lineRule="exact"/>
        <w:ind w:firstLine="640" w:firstLineChars="200"/>
        <w:jc w:val="both"/>
        <w:textAlignment w:val="auto"/>
        <w:rPr>
          <w:rFonts w:eastAsia="黑体"/>
          <w:sz w:val="32"/>
          <w:szCs w:val="32"/>
        </w:rPr>
      </w:pPr>
    </w:p>
    <w:p>
      <w:pPr>
        <w:keepNext w:val="0"/>
        <w:keepLines w:val="0"/>
        <w:pageBreakBefore w:val="0"/>
        <w:kinsoku/>
        <w:wordWrap/>
        <w:overflowPunct/>
        <w:topLinePunct w:val="0"/>
        <w:bidi w:val="0"/>
        <w:spacing w:line="560" w:lineRule="exact"/>
        <w:ind w:firstLine="880" w:firstLineChars="200"/>
        <w:jc w:val="both"/>
        <w:textAlignment w:val="auto"/>
        <w:rPr>
          <w:rFonts w:eastAsia="黑体"/>
          <w:sz w:val="44"/>
          <w:szCs w:val="44"/>
        </w:rPr>
      </w:pPr>
    </w:p>
    <w:p>
      <w:pPr>
        <w:keepNext w:val="0"/>
        <w:keepLines w:val="0"/>
        <w:pageBreakBefore w:val="0"/>
        <w:kinsoku/>
        <w:wordWrap/>
        <w:overflowPunct/>
        <w:topLinePunct w:val="0"/>
        <w:bidi w:val="0"/>
        <w:spacing w:line="560" w:lineRule="exact"/>
        <w:ind w:firstLine="880" w:firstLineChars="200"/>
        <w:jc w:val="both"/>
        <w:textAlignment w:val="auto"/>
        <w:rPr>
          <w:rFonts w:eastAsia="黑体"/>
          <w:sz w:val="44"/>
          <w:szCs w:val="44"/>
        </w:rPr>
      </w:pPr>
    </w:p>
    <w:p>
      <w:pPr>
        <w:keepNext w:val="0"/>
        <w:keepLines w:val="0"/>
        <w:pageBreakBefore w:val="0"/>
        <w:kinsoku/>
        <w:wordWrap/>
        <w:overflowPunct/>
        <w:topLinePunct w:val="0"/>
        <w:bidi w:val="0"/>
        <w:spacing w:line="560" w:lineRule="exact"/>
        <w:ind w:firstLine="880" w:firstLineChars="200"/>
        <w:jc w:val="both"/>
        <w:textAlignment w:val="auto"/>
        <w:rPr>
          <w:rFonts w:eastAsia="黑体"/>
          <w:sz w:val="44"/>
          <w:szCs w:val="44"/>
        </w:rPr>
      </w:pPr>
    </w:p>
    <w:p>
      <w:pPr>
        <w:keepNext w:val="0"/>
        <w:keepLines w:val="0"/>
        <w:pageBreakBefore w:val="0"/>
        <w:kinsoku/>
        <w:wordWrap/>
        <w:overflowPunct/>
        <w:topLinePunct w:val="0"/>
        <w:bidi w:val="0"/>
        <w:spacing w:line="560" w:lineRule="exact"/>
        <w:ind w:firstLine="720" w:firstLineChars="200"/>
        <w:jc w:val="both"/>
        <w:textAlignment w:val="auto"/>
        <w:rPr>
          <w:rFonts w:eastAsia="黑体"/>
          <w:sz w:val="36"/>
          <w:szCs w:val="36"/>
        </w:rPr>
      </w:pPr>
      <w:bookmarkStart w:id="0" w:name="_GoBack"/>
      <w:bookmarkEnd w:id="0"/>
    </w:p>
    <w:p>
      <w:pPr>
        <w:keepNext w:val="0"/>
        <w:keepLines w:val="0"/>
        <w:pageBreakBefore w:val="0"/>
        <w:kinsoku/>
        <w:wordWrap/>
        <w:overflowPunct/>
        <w:topLinePunct w:val="0"/>
        <w:bidi w:val="0"/>
        <w:spacing w:line="560" w:lineRule="exact"/>
        <w:ind w:firstLine="640" w:firstLineChars="200"/>
        <w:jc w:val="both"/>
        <w:textAlignment w:val="auto"/>
        <w:rPr>
          <w:rFonts w:eastAsia="仿宋_GB2312"/>
          <w:sz w:val="32"/>
          <w:szCs w:val="32"/>
        </w:rPr>
      </w:pPr>
    </w:p>
    <w:p>
      <w:pPr>
        <w:keepNext w:val="0"/>
        <w:keepLines w:val="0"/>
        <w:pageBreakBefore w:val="0"/>
        <w:kinsoku/>
        <w:wordWrap/>
        <w:overflowPunct/>
        <w:topLinePunct w:val="0"/>
        <w:bidi w:val="0"/>
        <w:spacing w:line="560" w:lineRule="exact"/>
        <w:ind w:firstLine="640" w:firstLineChars="200"/>
        <w:jc w:val="both"/>
        <w:textAlignment w:val="auto"/>
        <w:rPr>
          <w:rFonts w:eastAsia="黑体"/>
          <w:sz w:val="32"/>
          <w:szCs w:val="32"/>
        </w:rPr>
      </w:pPr>
      <w:r>
        <w:rPr>
          <w:rFonts w:eastAsia="仿宋_GB2312"/>
          <w:sz w:val="32"/>
          <w:szCs w:val="32"/>
        </w:rPr>
        <w:br w:type="page"/>
      </w:r>
      <w:r>
        <w:rPr>
          <w:rFonts w:eastAsia="黑体"/>
          <w:sz w:val="32"/>
          <w:szCs w:val="32"/>
        </w:rPr>
        <w:t>一、基本情况</w:t>
      </w:r>
    </w:p>
    <w:p>
      <w:pPr>
        <w:keepNext w:val="0"/>
        <w:keepLines w:val="0"/>
        <w:pageBreakBefore w:val="0"/>
        <w:kinsoku/>
        <w:wordWrap/>
        <w:overflowPunct/>
        <w:topLinePunct w:val="0"/>
        <w:bidi w:val="0"/>
        <w:spacing w:line="560" w:lineRule="exact"/>
        <w:ind w:firstLine="643" w:firstLineChars="200"/>
        <w:jc w:val="both"/>
        <w:textAlignment w:val="auto"/>
        <w:rPr>
          <w:rFonts w:eastAsia="黑体"/>
          <w:sz w:val="32"/>
          <w:szCs w:val="32"/>
        </w:rPr>
      </w:pPr>
      <w:r>
        <w:rPr>
          <w:rFonts w:eastAsia="楷体_GB2312"/>
          <w:b/>
          <w:sz w:val="32"/>
          <w:szCs w:val="32"/>
        </w:rPr>
        <w:t>（一）</w:t>
      </w:r>
      <w:r>
        <w:rPr>
          <w:rFonts w:hint="eastAsia" w:eastAsia="楷体_GB2312"/>
          <w:b/>
          <w:sz w:val="32"/>
          <w:szCs w:val="32"/>
        </w:rPr>
        <w:t>株洲市芦淞区残疾人联合会</w:t>
      </w:r>
      <w:r>
        <w:rPr>
          <w:rFonts w:eastAsia="楷体_GB2312"/>
          <w:b/>
          <w:sz w:val="32"/>
          <w:szCs w:val="32"/>
        </w:rPr>
        <w:t>基本情况</w:t>
      </w:r>
    </w:p>
    <w:p>
      <w:pPr>
        <w:pStyle w:val="11"/>
        <w:keepNext w:val="0"/>
        <w:keepLines w:val="0"/>
        <w:pageBreakBefore w:val="0"/>
        <w:kinsoku/>
        <w:wordWrap/>
        <w:overflowPunct/>
        <w:topLinePunct w:val="0"/>
        <w:bidi w:val="0"/>
        <w:spacing w:line="560" w:lineRule="exact"/>
        <w:ind w:firstLine="640" w:firstLineChars="200"/>
        <w:jc w:val="both"/>
        <w:textAlignment w:val="auto"/>
        <w:rPr>
          <w:rFonts w:ascii="仿宋_GB2312" w:hAnsi="宋体" w:eastAsia="仿宋_GB2312"/>
          <w:color w:val="auto"/>
          <w:sz w:val="32"/>
          <w:szCs w:val="32"/>
        </w:rPr>
      </w:pPr>
      <w:r>
        <w:rPr>
          <w:rFonts w:hint="eastAsia" w:ascii="仿宋_GB2312" w:hAnsi="宋体" w:eastAsia="仿宋_GB2312"/>
          <w:color w:val="auto"/>
          <w:sz w:val="32"/>
          <w:szCs w:val="32"/>
        </w:rPr>
        <w:t>根据《中华人民共和国残疾人保障法》《湖南省残疾人扶助办法》和《株洲市残疾人扶助实施办法》，区残疾人联合会履行政府赋予的“代表、服务、管理”三种职能，密切联系广大残疾人的共同利益，团结、教育残疾人自尊、自信、自强、自立，维护残疾人的合法权益，承担发展和管理残疾人事业的根本业务。是区人民政府主管的正科级参公事业单位，现有在职人员4人，无固期人员1人，退休人员1人，属区全额拨款预算单位。</w:t>
      </w:r>
    </w:p>
    <w:p>
      <w:pPr>
        <w:pStyle w:val="11"/>
        <w:keepNext w:val="0"/>
        <w:keepLines w:val="0"/>
        <w:pageBreakBefore w:val="0"/>
        <w:kinsoku/>
        <w:wordWrap/>
        <w:overflowPunct/>
        <w:topLinePunct w:val="0"/>
        <w:bidi w:val="0"/>
        <w:spacing w:line="560" w:lineRule="exact"/>
        <w:ind w:firstLine="640" w:firstLineChars="200"/>
        <w:jc w:val="both"/>
        <w:textAlignment w:val="auto"/>
        <w:rPr>
          <w:rFonts w:ascii="仿宋_GB2312" w:hAnsi="宋体" w:eastAsia="仿宋_GB2312"/>
          <w:color w:val="auto"/>
          <w:sz w:val="32"/>
          <w:szCs w:val="32"/>
        </w:rPr>
      </w:pPr>
      <w:r>
        <w:rPr>
          <w:rFonts w:hint="eastAsia" w:ascii="仿宋_GB2312" w:hAnsi="宋体" w:eastAsia="仿宋_GB2312"/>
          <w:color w:val="auto"/>
          <w:sz w:val="32"/>
          <w:szCs w:val="32"/>
        </w:rPr>
        <w:t>主要职能：1.宣传贯彻《中华人民共和国残疾人保障法》等残疾人工作相关法律法规，维护残疾人在政治、经济、文化、社会等方面平等的公民权利，密切联系残疾人，听取残疾人意见，反映残疾人需求，全心全意为残疾人服务。2.团结教育残疾人，遵守法律，履行应尽的义务，发扬乐观进取精神；自尊、自信、自强、自立，为社会主义建设贡献力量。3.弘扬人道主义，宣传残疾人事业，沟通政府、社会与残疾人之间的联系，动员社会理解、尊重、关心、帮助残疾人。4.开展残疾人基本服务状况和需求信息数据动态更新工作；开展残疾人康复、教育、培训就业、扶贫解困等工作；组织开展残疾人文化体育艺术活动；实施残疾人辅助器具服务；组织开展为残疾人提供社会服务和福利，做好托养和社会保障工作；开展无障碍环境建设和残疾人家庭无障碍建设，组织协调无障碍设施建议和残疾预防工作，创造良好的环境和条件，扶助残疾人平等参与社会生活。5.协助政府研究、制定和实施残疾人事业的政策、规划和计划，做好综合、组织、协调和服务工作。实施按比例安排残疾人就业工作，协调税务依法依规征收残疾人就业保障金。6.开展残疾人事业的对外交流与合作。7.承担区人民政府残疾人工作委员会的日常工作。8.加强党的建设，深化自身改革，保持和增强政治性、先进性、群众性。加强残疾人基层组织建设，培养残疾人工作者，联系和指导各类残疾人社会组织。9.完成区委、区政府交办的其他任务。</w:t>
      </w:r>
    </w:p>
    <w:p>
      <w:pPr>
        <w:keepNext w:val="0"/>
        <w:keepLines w:val="0"/>
        <w:pageBreakBefore w:val="0"/>
        <w:kinsoku/>
        <w:wordWrap/>
        <w:overflowPunct/>
        <w:topLinePunct w:val="0"/>
        <w:bidi w:val="0"/>
        <w:spacing w:line="560" w:lineRule="exact"/>
        <w:ind w:firstLine="643" w:firstLineChars="200"/>
        <w:jc w:val="both"/>
        <w:textAlignment w:val="auto"/>
        <w:rPr>
          <w:rFonts w:eastAsia="楷体_GB2312"/>
          <w:b/>
          <w:sz w:val="32"/>
          <w:szCs w:val="32"/>
        </w:rPr>
      </w:pPr>
      <w:r>
        <w:rPr>
          <w:rFonts w:eastAsia="楷体_GB2312"/>
          <w:b/>
          <w:sz w:val="32"/>
          <w:szCs w:val="32"/>
        </w:rPr>
        <w:t>（二）</w:t>
      </w:r>
      <w:r>
        <w:rPr>
          <w:rFonts w:hint="eastAsia" w:eastAsia="楷体_GB2312"/>
          <w:b/>
          <w:sz w:val="32"/>
          <w:szCs w:val="32"/>
        </w:rPr>
        <w:t>株洲市芦淞区残疾人联合会2</w:t>
      </w:r>
      <w:r>
        <w:rPr>
          <w:rFonts w:eastAsia="楷体_GB2312"/>
          <w:b/>
          <w:sz w:val="32"/>
          <w:szCs w:val="32"/>
        </w:rPr>
        <w:t>021年度整体支出绩效目标，</w:t>
      </w:r>
      <w:r>
        <w:rPr>
          <w:rFonts w:hint="eastAsia" w:eastAsia="楷体_GB2312"/>
          <w:b/>
          <w:sz w:val="32"/>
          <w:szCs w:val="32"/>
        </w:rPr>
        <w:t>部门</w:t>
      </w:r>
      <w:r>
        <w:rPr>
          <w:rFonts w:eastAsia="楷体_GB2312"/>
          <w:b/>
          <w:sz w:val="32"/>
          <w:szCs w:val="32"/>
        </w:rPr>
        <w:t>专项资金绩效目标、其他项目支出（除省级专项资金以外）绩效目标</w:t>
      </w:r>
    </w:p>
    <w:p>
      <w:pPr>
        <w:keepNext w:val="0"/>
        <w:keepLines w:val="0"/>
        <w:pageBreakBefore w:val="0"/>
        <w:kinsoku/>
        <w:wordWrap/>
        <w:overflowPunct/>
        <w:topLinePunct w:val="0"/>
        <w:bidi w:val="0"/>
        <w:spacing w:line="560" w:lineRule="exact"/>
        <w:ind w:firstLine="640" w:firstLineChars="200"/>
        <w:jc w:val="both"/>
        <w:textAlignment w:val="auto"/>
        <w:rPr>
          <w:rFonts w:eastAsia="楷体_GB2312"/>
          <w:b/>
          <w:sz w:val="32"/>
          <w:szCs w:val="32"/>
        </w:rPr>
      </w:pPr>
      <w:r>
        <w:rPr>
          <w:rFonts w:hint="eastAsia" w:ascii="仿宋_GB2312" w:hAnsi="宋体" w:eastAsia="仿宋_GB2312" w:cs="黑体"/>
          <w:kern w:val="0"/>
          <w:sz w:val="32"/>
          <w:szCs w:val="32"/>
        </w:rPr>
        <w:t>1、稳定残疾人工作者队伍，确保80名残疾人专职委员工资发放到位；2、对5000名残疾人开展残疾人基本服务状况和需求信息更新调查；3、认真做好第三代（智能化）残疾人证换发工作；4、积极开展残疾人文化、体育活动；5、免费为残疾人办理公交爱心卡；6、积极开展残疾人事业宣传活动，引导全社会关心支持残疾人事业。7、开展残疾儿童抢救性康复训练；8、开展残疾人辅助器具适配；9.开展精神病人服药、住院补助；10、确保残疾人家庭医生签约服务率；11、开展残疾人预防和康复宣传；12、开展社区康复综合示范站建设；13、开展残疾人家长培训、基层康复人才培训。14、做好辖区内机关、事业、企业残保金征收年审工作；15、开展残疾人就业培训；16、开展残疾人创业扶持、阳光增收工作；17、开展盲人按摩进社区工作；18、开展残疾人就业援助活动；19、开展残疾人扶贫工作；20、开展残疾人就业资助工作；21、开展连千村帮万户工作；22、进行扶贫基地建设2家；23、开展残疾人“阳光家园”工作；24、配合民政部门做好残疾人“两项补贴”工作。25、开展残疾人无障碍进社区、家庭改造；26、维护残疾人合法权益。</w:t>
      </w:r>
    </w:p>
    <w:p>
      <w:pPr>
        <w:pStyle w:val="10"/>
        <w:keepNext w:val="0"/>
        <w:keepLines w:val="0"/>
        <w:pageBreakBefore w:val="0"/>
        <w:kinsoku/>
        <w:wordWrap/>
        <w:overflowPunct/>
        <w:topLinePunct w:val="0"/>
        <w:bidi w:val="0"/>
        <w:spacing w:line="560" w:lineRule="exact"/>
        <w:ind w:firstLine="640" w:firstLineChars="200"/>
        <w:jc w:val="both"/>
        <w:textAlignment w:val="auto"/>
        <w:rPr>
          <w:rFonts w:ascii="Times New Roman" w:hAnsi="Times New Roman" w:eastAsia="黑体"/>
          <w:sz w:val="32"/>
          <w:szCs w:val="32"/>
        </w:rPr>
      </w:pPr>
      <w:r>
        <w:rPr>
          <w:rFonts w:ascii="Times New Roman" w:hAnsi="Times New Roman" w:eastAsia="黑体"/>
          <w:sz w:val="32"/>
          <w:szCs w:val="32"/>
        </w:rPr>
        <w:t>二、一般公共预算支出情况</w:t>
      </w:r>
    </w:p>
    <w:p>
      <w:pPr>
        <w:pStyle w:val="10"/>
        <w:keepNext w:val="0"/>
        <w:keepLines w:val="0"/>
        <w:pageBreakBefore w:val="0"/>
        <w:kinsoku/>
        <w:wordWrap/>
        <w:overflowPunct/>
        <w:topLinePunct w:val="0"/>
        <w:bidi w:val="0"/>
        <w:spacing w:line="560" w:lineRule="exact"/>
        <w:ind w:firstLine="643" w:firstLineChars="200"/>
        <w:jc w:val="both"/>
        <w:textAlignment w:val="auto"/>
        <w:rPr>
          <w:rFonts w:ascii="Times New Roman" w:hAnsi="Times New Roman" w:eastAsia="楷体_GB2312"/>
          <w:b/>
          <w:sz w:val="32"/>
          <w:szCs w:val="32"/>
        </w:rPr>
      </w:pPr>
      <w:r>
        <w:rPr>
          <w:rFonts w:ascii="Times New Roman" w:hAnsi="Times New Roman" w:eastAsia="楷体_GB2312"/>
          <w:b/>
          <w:sz w:val="32"/>
          <w:szCs w:val="32"/>
        </w:rPr>
        <w:t>（一）基本支出情况</w:t>
      </w:r>
    </w:p>
    <w:p>
      <w:pPr>
        <w:pStyle w:val="10"/>
        <w:keepNext w:val="0"/>
        <w:keepLines w:val="0"/>
        <w:pageBreakBefore w:val="0"/>
        <w:kinsoku/>
        <w:wordWrap/>
        <w:overflowPunct/>
        <w:topLinePunct w:val="0"/>
        <w:bidi w:val="0"/>
        <w:spacing w:line="560" w:lineRule="exact"/>
        <w:ind w:firstLine="640" w:firstLineChars="200"/>
        <w:jc w:val="both"/>
        <w:textAlignment w:val="auto"/>
        <w:rPr>
          <w:rFonts w:eastAsia="仿宋"/>
          <w:sz w:val="32"/>
          <w:szCs w:val="32"/>
        </w:rPr>
      </w:pPr>
      <w:r>
        <w:rPr>
          <w:rFonts w:hint="eastAsia" w:ascii="Times New Roman" w:hAnsi="Times New Roman" w:eastAsia="楷体_GB2312"/>
          <w:sz w:val="32"/>
          <w:szCs w:val="32"/>
        </w:rPr>
        <w:t>1、</w:t>
      </w:r>
      <w:r>
        <w:rPr>
          <w:rFonts w:eastAsia="仿宋"/>
          <w:sz w:val="32"/>
          <w:szCs w:val="32"/>
        </w:rPr>
        <w:t>202</w:t>
      </w:r>
      <w:r>
        <w:rPr>
          <w:rFonts w:hint="eastAsia" w:eastAsia="仿宋"/>
          <w:sz w:val="32"/>
          <w:szCs w:val="32"/>
        </w:rPr>
        <w:t>1</w:t>
      </w:r>
      <w:r>
        <w:rPr>
          <w:rFonts w:eastAsia="仿宋"/>
          <w:sz w:val="32"/>
          <w:szCs w:val="32"/>
        </w:rPr>
        <w:t>年预算资金</w:t>
      </w:r>
      <w:r>
        <w:rPr>
          <w:rFonts w:hint="eastAsia" w:eastAsia="仿宋"/>
          <w:sz w:val="32"/>
          <w:szCs w:val="32"/>
        </w:rPr>
        <w:t>8</w:t>
      </w:r>
      <w:r>
        <w:rPr>
          <w:rFonts w:eastAsia="仿宋"/>
          <w:sz w:val="32"/>
          <w:szCs w:val="32"/>
        </w:rPr>
        <w:t>6.09</w:t>
      </w:r>
      <w:r>
        <w:rPr>
          <w:rFonts w:hint="eastAsia" w:eastAsia="仿宋"/>
          <w:sz w:val="32"/>
          <w:szCs w:val="32"/>
        </w:rPr>
        <w:t>万元。</w:t>
      </w:r>
    </w:p>
    <w:p>
      <w:pPr>
        <w:pStyle w:val="10"/>
        <w:keepNext w:val="0"/>
        <w:keepLines w:val="0"/>
        <w:pageBreakBefore w:val="0"/>
        <w:kinsoku/>
        <w:wordWrap/>
        <w:overflowPunct/>
        <w:topLinePunct w:val="0"/>
        <w:bidi w:val="0"/>
        <w:spacing w:line="560" w:lineRule="exact"/>
        <w:ind w:firstLine="608" w:firstLineChars="200"/>
        <w:jc w:val="both"/>
        <w:textAlignment w:val="auto"/>
        <w:rPr>
          <w:rFonts w:eastAsia="仿宋"/>
          <w:spacing w:val="-8"/>
          <w:sz w:val="32"/>
          <w:szCs w:val="32"/>
        </w:rPr>
      </w:pPr>
      <w:r>
        <w:rPr>
          <w:rFonts w:ascii="Times New Roman" w:hAnsi="Times New Roman" w:eastAsia="楷体_GB2312"/>
          <w:spacing w:val="-8"/>
          <w:sz w:val="32"/>
          <w:szCs w:val="32"/>
        </w:rPr>
        <w:t>2</w:t>
      </w:r>
      <w:r>
        <w:rPr>
          <w:rFonts w:hint="eastAsia" w:ascii="Times New Roman" w:hAnsi="Times New Roman" w:eastAsia="楷体_GB2312"/>
          <w:spacing w:val="-8"/>
          <w:sz w:val="32"/>
          <w:szCs w:val="32"/>
        </w:rPr>
        <w:t>、2021年</w:t>
      </w:r>
      <w:r>
        <w:rPr>
          <w:rFonts w:hint="eastAsia" w:eastAsia="仿宋"/>
          <w:spacing w:val="-8"/>
          <w:sz w:val="32"/>
          <w:szCs w:val="32"/>
        </w:rPr>
        <w:t>度</w:t>
      </w:r>
      <w:r>
        <w:rPr>
          <w:rFonts w:eastAsia="仿宋"/>
          <w:spacing w:val="-8"/>
          <w:sz w:val="32"/>
          <w:szCs w:val="32"/>
        </w:rPr>
        <w:t>单位</w:t>
      </w:r>
      <w:r>
        <w:rPr>
          <w:rFonts w:hint="eastAsia" w:eastAsia="仿宋"/>
          <w:spacing w:val="-8"/>
          <w:sz w:val="32"/>
          <w:szCs w:val="32"/>
        </w:rPr>
        <w:t>一般公共预算财政拨款</w:t>
      </w:r>
      <w:r>
        <w:rPr>
          <w:rFonts w:eastAsia="仿宋"/>
          <w:spacing w:val="-8"/>
          <w:sz w:val="32"/>
          <w:szCs w:val="32"/>
        </w:rPr>
        <w:t>收入</w:t>
      </w:r>
      <w:r>
        <w:rPr>
          <w:rFonts w:hint="eastAsia" w:eastAsia="仿宋"/>
          <w:spacing w:val="-8"/>
          <w:sz w:val="32"/>
          <w:szCs w:val="32"/>
        </w:rPr>
        <w:t>4</w:t>
      </w:r>
      <w:r>
        <w:rPr>
          <w:rFonts w:eastAsia="仿宋"/>
          <w:spacing w:val="-8"/>
          <w:sz w:val="32"/>
          <w:szCs w:val="32"/>
        </w:rPr>
        <w:t>74.32</w:t>
      </w:r>
      <w:r>
        <w:rPr>
          <w:rFonts w:hint="eastAsia" w:eastAsia="仿宋"/>
          <w:spacing w:val="-8"/>
          <w:sz w:val="32"/>
          <w:szCs w:val="32"/>
        </w:rPr>
        <w:t>万元。</w:t>
      </w:r>
    </w:p>
    <w:p>
      <w:pPr>
        <w:keepNext w:val="0"/>
        <w:keepLines w:val="0"/>
        <w:pageBreakBefore w:val="0"/>
        <w:kinsoku/>
        <w:wordWrap/>
        <w:overflowPunct/>
        <w:topLinePunct w:val="0"/>
        <w:bidi w:val="0"/>
        <w:spacing w:line="560" w:lineRule="exact"/>
        <w:ind w:firstLine="640" w:firstLineChars="200"/>
        <w:jc w:val="both"/>
        <w:textAlignment w:val="auto"/>
        <w:rPr>
          <w:rFonts w:eastAsia="仿宋"/>
          <w:sz w:val="32"/>
          <w:szCs w:val="32"/>
        </w:rPr>
      </w:pPr>
      <w:r>
        <w:rPr>
          <w:rFonts w:eastAsia="仿宋"/>
          <w:sz w:val="32"/>
          <w:szCs w:val="32"/>
        </w:rPr>
        <w:t>3</w:t>
      </w:r>
      <w:r>
        <w:rPr>
          <w:rFonts w:hint="eastAsia" w:eastAsia="仿宋"/>
          <w:sz w:val="32"/>
          <w:szCs w:val="32"/>
          <w:lang w:eastAsia="zh-CN"/>
        </w:rPr>
        <w:t>、</w:t>
      </w:r>
      <w:r>
        <w:rPr>
          <w:rFonts w:hint="eastAsia" w:eastAsia="仿宋"/>
          <w:sz w:val="32"/>
          <w:szCs w:val="32"/>
        </w:rPr>
        <w:t>2021年度</w:t>
      </w:r>
      <w:r>
        <w:rPr>
          <w:rFonts w:eastAsia="仿宋"/>
          <w:sz w:val="32"/>
          <w:szCs w:val="32"/>
        </w:rPr>
        <w:t>单位</w:t>
      </w:r>
      <w:r>
        <w:rPr>
          <w:rFonts w:hint="eastAsia" w:eastAsia="仿宋"/>
          <w:sz w:val="32"/>
          <w:szCs w:val="32"/>
        </w:rPr>
        <w:t>一般公共预算财政拨款支出4</w:t>
      </w:r>
      <w:r>
        <w:rPr>
          <w:rFonts w:eastAsia="仿宋"/>
          <w:sz w:val="32"/>
          <w:szCs w:val="32"/>
        </w:rPr>
        <w:t>74.32</w:t>
      </w:r>
      <w:r>
        <w:rPr>
          <w:rFonts w:hint="eastAsia" w:eastAsia="仿宋"/>
          <w:sz w:val="32"/>
          <w:szCs w:val="32"/>
        </w:rPr>
        <w:t>万元，</w:t>
      </w:r>
      <w:r>
        <w:rPr>
          <w:rFonts w:eastAsia="仿宋"/>
          <w:sz w:val="32"/>
          <w:szCs w:val="32"/>
        </w:rPr>
        <w:t>其中：项目支出402.61万元，基本支出71.71万元，其中：人员经费67.17万元，公用经费4.54</w:t>
      </w:r>
      <w:r>
        <w:rPr>
          <w:rFonts w:hint="eastAsia" w:eastAsia="仿宋"/>
          <w:sz w:val="32"/>
          <w:szCs w:val="32"/>
        </w:rPr>
        <w:t>万</w:t>
      </w:r>
      <w:r>
        <w:rPr>
          <w:rFonts w:eastAsia="仿宋"/>
          <w:sz w:val="32"/>
          <w:szCs w:val="32"/>
        </w:rPr>
        <w:t>元。</w:t>
      </w:r>
    </w:p>
    <w:p>
      <w:pPr>
        <w:pStyle w:val="10"/>
        <w:keepNext w:val="0"/>
        <w:keepLines w:val="0"/>
        <w:pageBreakBefore w:val="0"/>
        <w:numPr>
          <w:ilvl w:val="0"/>
          <w:numId w:val="1"/>
        </w:numPr>
        <w:kinsoku/>
        <w:wordWrap/>
        <w:overflowPunct/>
        <w:topLinePunct w:val="0"/>
        <w:bidi w:val="0"/>
        <w:spacing w:line="560" w:lineRule="exact"/>
        <w:ind w:firstLine="643" w:firstLineChars="200"/>
        <w:jc w:val="both"/>
        <w:textAlignment w:val="auto"/>
        <w:rPr>
          <w:rFonts w:ascii="Times New Roman" w:hAnsi="Times New Roman" w:eastAsia="楷体_GB2312"/>
          <w:b/>
          <w:sz w:val="32"/>
          <w:szCs w:val="32"/>
        </w:rPr>
      </w:pPr>
      <w:r>
        <w:rPr>
          <w:rFonts w:ascii="Times New Roman" w:hAnsi="Times New Roman" w:eastAsia="楷体_GB2312"/>
          <w:b/>
          <w:sz w:val="32"/>
          <w:szCs w:val="32"/>
        </w:rPr>
        <w:t>项目支出情况</w:t>
      </w:r>
    </w:p>
    <w:p>
      <w:pPr>
        <w:pStyle w:val="10"/>
        <w:keepNext w:val="0"/>
        <w:keepLines w:val="0"/>
        <w:pageBreakBefore w:val="0"/>
        <w:kinsoku/>
        <w:wordWrap/>
        <w:overflowPunct/>
        <w:topLinePunct w:val="0"/>
        <w:bidi w:val="0"/>
        <w:spacing w:line="560" w:lineRule="exact"/>
        <w:ind w:firstLine="640" w:firstLineChars="200"/>
        <w:jc w:val="both"/>
        <w:textAlignment w:val="auto"/>
        <w:rPr>
          <w:rFonts w:ascii="Times New Roman" w:hAnsi="Times New Roman" w:eastAsia="仿宋"/>
          <w:sz w:val="32"/>
          <w:szCs w:val="32"/>
        </w:rPr>
      </w:pPr>
      <w:r>
        <w:rPr>
          <w:rFonts w:hint="eastAsia" w:ascii="Times New Roman" w:hAnsi="Times New Roman" w:eastAsia="仿宋"/>
          <w:sz w:val="32"/>
          <w:szCs w:val="32"/>
        </w:rPr>
        <w:t>1、残疾人康复项目支出</w:t>
      </w:r>
      <w:r>
        <w:rPr>
          <w:rFonts w:ascii="Times New Roman" w:hAnsi="Times New Roman" w:eastAsia="仿宋"/>
          <w:sz w:val="32"/>
          <w:szCs w:val="32"/>
        </w:rPr>
        <w:t>33</w:t>
      </w:r>
      <w:r>
        <w:rPr>
          <w:rFonts w:hint="eastAsia" w:ascii="Times New Roman" w:hAnsi="Times New Roman" w:eastAsia="仿宋"/>
          <w:sz w:val="32"/>
          <w:szCs w:val="32"/>
        </w:rPr>
        <w:t>万元。</w:t>
      </w:r>
    </w:p>
    <w:p>
      <w:pPr>
        <w:pStyle w:val="10"/>
        <w:keepNext w:val="0"/>
        <w:keepLines w:val="0"/>
        <w:pageBreakBefore w:val="0"/>
        <w:kinsoku/>
        <w:wordWrap/>
        <w:overflowPunct/>
        <w:topLinePunct w:val="0"/>
        <w:bidi w:val="0"/>
        <w:spacing w:line="560" w:lineRule="exact"/>
        <w:ind w:firstLine="640" w:firstLineChars="200"/>
        <w:jc w:val="both"/>
        <w:textAlignment w:val="auto"/>
        <w:rPr>
          <w:rFonts w:ascii="Times New Roman" w:hAnsi="Times New Roman" w:eastAsia="仿宋"/>
          <w:sz w:val="32"/>
          <w:szCs w:val="32"/>
        </w:rPr>
      </w:pPr>
      <w:r>
        <w:rPr>
          <w:rFonts w:hint="eastAsia" w:ascii="Times New Roman" w:hAnsi="Times New Roman" w:eastAsia="仿宋"/>
          <w:sz w:val="32"/>
          <w:szCs w:val="32"/>
        </w:rPr>
        <w:t>2、残疾人就业和扶贫项目支出</w:t>
      </w:r>
      <w:r>
        <w:rPr>
          <w:rFonts w:ascii="Times New Roman" w:hAnsi="Times New Roman" w:eastAsia="仿宋"/>
          <w:sz w:val="32"/>
          <w:szCs w:val="32"/>
        </w:rPr>
        <w:t>126.13</w:t>
      </w:r>
      <w:r>
        <w:rPr>
          <w:rFonts w:hint="eastAsia" w:ascii="Times New Roman" w:hAnsi="Times New Roman" w:eastAsia="仿宋"/>
          <w:sz w:val="32"/>
          <w:szCs w:val="32"/>
        </w:rPr>
        <w:t>万元。</w:t>
      </w:r>
    </w:p>
    <w:p>
      <w:pPr>
        <w:pStyle w:val="10"/>
        <w:keepNext w:val="0"/>
        <w:keepLines w:val="0"/>
        <w:pageBreakBefore w:val="0"/>
        <w:kinsoku/>
        <w:wordWrap/>
        <w:overflowPunct/>
        <w:topLinePunct w:val="0"/>
        <w:bidi w:val="0"/>
        <w:spacing w:line="560" w:lineRule="exact"/>
        <w:ind w:firstLine="640" w:firstLineChars="200"/>
        <w:jc w:val="both"/>
        <w:textAlignment w:val="auto"/>
        <w:rPr>
          <w:rFonts w:ascii="Times New Roman" w:hAnsi="Times New Roman" w:eastAsia="仿宋"/>
          <w:sz w:val="32"/>
          <w:szCs w:val="32"/>
        </w:rPr>
      </w:pPr>
      <w:r>
        <w:rPr>
          <w:rFonts w:hint="eastAsia" w:ascii="Times New Roman" w:hAnsi="Times New Roman" w:eastAsia="仿宋"/>
          <w:sz w:val="32"/>
          <w:szCs w:val="32"/>
        </w:rPr>
        <w:t>3、其他残疾人事业支出项目支出</w:t>
      </w:r>
      <w:r>
        <w:rPr>
          <w:rFonts w:ascii="Times New Roman" w:hAnsi="Times New Roman" w:eastAsia="仿宋"/>
          <w:sz w:val="32"/>
          <w:szCs w:val="32"/>
        </w:rPr>
        <w:t>243.48</w:t>
      </w:r>
      <w:r>
        <w:rPr>
          <w:rFonts w:hint="eastAsia" w:ascii="Times New Roman" w:hAnsi="Times New Roman" w:eastAsia="仿宋"/>
          <w:sz w:val="32"/>
          <w:szCs w:val="32"/>
        </w:rPr>
        <w:t>万元。</w:t>
      </w:r>
    </w:p>
    <w:p>
      <w:pPr>
        <w:pStyle w:val="10"/>
        <w:keepNext w:val="0"/>
        <w:keepLines w:val="0"/>
        <w:pageBreakBefore w:val="0"/>
        <w:kinsoku/>
        <w:wordWrap/>
        <w:overflowPunct/>
        <w:topLinePunct w:val="0"/>
        <w:bidi w:val="0"/>
        <w:spacing w:line="560" w:lineRule="exact"/>
        <w:ind w:firstLine="640" w:firstLineChars="200"/>
        <w:jc w:val="both"/>
        <w:textAlignment w:val="auto"/>
        <w:rPr>
          <w:rFonts w:ascii="Times New Roman" w:hAnsi="Times New Roman" w:eastAsia="黑体"/>
          <w:sz w:val="32"/>
          <w:szCs w:val="32"/>
        </w:rPr>
      </w:pPr>
      <w:r>
        <w:rPr>
          <w:rFonts w:ascii="Times New Roman" w:hAnsi="Times New Roman" w:eastAsia="黑体"/>
          <w:sz w:val="32"/>
          <w:szCs w:val="32"/>
        </w:rPr>
        <w:t>三、政府性基金预算支出情况</w:t>
      </w:r>
      <w:r>
        <w:rPr>
          <w:rFonts w:hint="eastAsia" w:ascii="Times New Roman" w:hAnsi="Times New Roman" w:eastAsia="黑体"/>
          <w:sz w:val="32"/>
          <w:szCs w:val="32"/>
        </w:rPr>
        <w:t>（取04表H34数据）</w:t>
      </w:r>
    </w:p>
    <w:p>
      <w:pPr>
        <w:pStyle w:val="10"/>
        <w:keepNext w:val="0"/>
        <w:keepLines w:val="0"/>
        <w:pageBreakBefore w:val="0"/>
        <w:kinsoku/>
        <w:wordWrap/>
        <w:overflowPunct/>
        <w:topLinePunct w:val="0"/>
        <w:bidi w:val="0"/>
        <w:spacing w:line="560" w:lineRule="exact"/>
        <w:ind w:firstLine="640" w:firstLineChars="200"/>
        <w:jc w:val="both"/>
        <w:textAlignment w:val="auto"/>
        <w:rPr>
          <w:rFonts w:ascii="Times New Roman" w:hAnsi="Times New Roman" w:eastAsia="仿宋"/>
          <w:sz w:val="32"/>
          <w:szCs w:val="32"/>
        </w:rPr>
      </w:pPr>
      <w:r>
        <w:rPr>
          <w:rFonts w:hint="eastAsia" w:ascii="Times New Roman" w:hAnsi="Times New Roman" w:eastAsia="仿宋"/>
          <w:sz w:val="32"/>
          <w:szCs w:val="32"/>
        </w:rPr>
        <w:t>202</w:t>
      </w:r>
      <w:r>
        <w:rPr>
          <w:rFonts w:ascii="Times New Roman" w:hAnsi="Times New Roman" w:eastAsia="仿宋"/>
          <w:sz w:val="32"/>
          <w:szCs w:val="32"/>
        </w:rPr>
        <w:t>1</w:t>
      </w:r>
      <w:r>
        <w:rPr>
          <w:rFonts w:hint="eastAsia" w:ascii="Times New Roman" w:hAnsi="Times New Roman" w:eastAsia="仿宋"/>
          <w:sz w:val="32"/>
          <w:szCs w:val="32"/>
        </w:rPr>
        <w:t>年按排政府性基金预算支出 27.</w:t>
      </w:r>
      <w:r>
        <w:rPr>
          <w:rFonts w:ascii="Times New Roman" w:hAnsi="Times New Roman" w:eastAsia="仿宋"/>
          <w:sz w:val="32"/>
          <w:szCs w:val="32"/>
        </w:rPr>
        <w:t>9</w:t>
      </w:r>
      <w:r>
        <w:rPr>
          <w:rFonts w:hint="eastAsia" w:ascii="Times New Roman" w:hAnsi="Times New Roman" w:eastAsia="仿宋"/>
          <w:sz w:val="32"/>
          <w:szCs w:val="32"/>
        </w:rPr>
        <w:t>万元，主要用于残疾人康复。</w:t>
      </w:r>
    </w:p>
    <w:p>
      <w:pPr>
        <w:pStyle w:val="10"/>
        <w:keepNext w:val="0"/>
        <w:keepLines w:val="0"/>
        <w:pageBreakBefore w:val="0"/>
        <w:kinsoku/>
        <w:wordWrap/>
        <w:overflowPunct/>
        <w:topLinePunct w:val="0"/>
        <w:bidi w:val="0"/>
        <w:spacing w:line="560" w:lineRule="exact"/>
        <w:ind w:firstLine="640" w:firstLineChars="200"/>
        <w:jc w:val="both"/>
        <w:textAlignment w:val="auto"/>
        <w:rPr>
          <w:rFonts w:ascii="Times New Roman" w:hAnsi="Times New Roman" w:eastAsia="黑体"/>
          <w:sz w:val="32"/>
          <w:szCs w:val="32"/>
        </w:rPr>
      </w:pPr>
      <w:r>
        <w:rPr>
          <w:rFonts w:ascii="Times New Roman" w:hAnsi="Times New Roman" w:eastAsia="黑体"/>
          <w:sz w:val="32"/>
          <w:szCs w:val="32"/>
        </w:rPr>
        <w:t>四、国有资本经营预算支出情况</w:t>
      </w:r>
    </w:p>
    <w:p>
      <w:pPr>
        <w:pStyle w:val="10"/>
        <w:keepNext w:val="0"/>
        <w:keepLines w:val="0"/>
        <w:pageBreakBefore w:val="0"/>
        <w:kinsoku/>
        <w:wordWrap/>
        <w:overflowPunct/>
        <w:topLinePunct w:val="0"/>
        <w:bidi w:val="0"/>
        <w:spacing w:line="560" w:lineRule="exact"/>
        <w:ind w:firstLine="640" w:firstLineChars="200"/>
        <w:jc w:val="both"/>
        <w:textAlignment w:val="auto"/>
        <w:rPr>
          <w:rFonts w:ascii="Times New Roman" w:hAnsi="Times New Roman" w:eastAsia="仿宋"/>
          <w:sz w:val="32"/>
          <w:szCs w:val="32"/>
        </w:rPr>
      </w:pPr>
      <w:r>
        <w:rPr>
          <w:rFonts w:hint="eastAsia" w:ascii="Times New Roman" w:hAnsi="Times New Roman" w:eastAsia="仿宋"/>
          <w:sz w:val="32"/>
          <w:szCs w:val="32"/>
          <w:lang w:eastAsia="zh-CN"/>
        </w:rPr>
        <w:t>无</w:t>
      </w:r>
      <w:r>
        <w:rPr>
          <w:rFonts w:hint="eastAsia" w:ascii="Times New Roman" w:hAnsi="Times New Roman" w:eastAsia="仿宋"/>
          <w:sz w:val="32"/>
          <w:szCs w:val="32"/>
        </w:rPr>
        <w:t>。</w:t>
      </w:r>
    </w:p>
    <w:p>
      <w:pPr>
        <w:pStyle w:val="10"/>
        <w:keepNext w:val="0"/>
        <w:keepLines w:val="0"/>
        <w:pageBreakBefore w:val="0"/>
        <w:kinsoku/>
        <w:wordWrap/>
        <w:overflowPunct/>
        <w:topLinePunct w:val="0"/>
        <w:bidi w:val="0"/>
        <w:spacing w:line="560" w:lineRule="exact"/>
        <w:ind w:firstLine="640" w:firstLineChars="200"/>
        <w:jc w:val="both"/>
        <w:textAlignment w:val="auto"/>
        <w:rPr>
          <w:rFonts w:ascii="Times New Roman" w:hAnsi="Times New Roman" w:eastAsia="黑体"/>
          <w:sz w:val="32"/>
          <w:szCs w:val="32"/>
        </w:rPr>
      </w:pPr>
      <w:r>
        <w:rPr>
          <w:rFonts w:ascii="Times New Roman" w:hAnsi="Times New Roman" w:eastAsia="黑体"/>
          <w:sz w:val="32"/>
          <w:szCs w:val="32"/>
        </w:rPr>
        <w:t>五、社会保险基金预算支出情况</w:t>
      </w:r>
    </w:p>
    <w:p>
      <w:pPr>
        <w:pStyle w:val="10"/>
        <w:keepNext w:val="0"/>
        <w:keepLines w:val="0"/>
        <w:pageBreakBefore w:val="0"/>
        <w:kinsoku/>
        <w:wordWrap/>
        <w:overflowPunct/>
        <w:topLinePunct w:val="0"/>
        <w:bidi w:val="0"/>
        <w:spacing w:line="560" w:lineRule="exact"/>
        <w:ind w:firstLine="640" w:firstLineChars="200"/>
        <w:jc w:val="both"/>
        <w:textAlignment w:val="auto"/>
        <w:rPr>
          <w:rFonts w:ascii="Times New Roman" w:hAnsi="Times New Roman" w:eastAsia="仿宋"/>
          <w:sz w:val="32"/>
          <w:szCs w:val="32"/>
        </w:rPr>
      </w:pPr>
      <w:r>
        <w:rPr>
          <w:rFonts w:hint="eastAsia" w:ascii="Times New Roman" w:hAnsi="Times New Roman" w:eastAsia="仿宋"/>
          <w:sz w:val="32"/>
          <w:szCs w:val="32"/>
          <w:lang w:eastAsia="zh-CN"/>
        </w:rPr>
        <w:t>无</w:t>
      </w:r>
      <w:r>
        <w:rPr>
          <w:rFonts w:hint="eastAsia" w:ascii="Times New Roman" w:hAnsi="Times New Roman" w:eastAsia="仿宋"/>
          <w:sz w:val="32"/>
          <w:szCs w:val="32"/>
        </w:rPr>
        <w:t>。</w:t>
      </w:r>
    </w:p>
    <w:p>
      <w:pPr>
        <w:keepNext w:val="0"/>
        <w:keepLines w:val="0"/>
        <w:pageBreakBefore w:val="0"/>
        <w:kinsoku/>
        <w:wordWrap/>
        <w:overflowPunct/>
        <w:topLinePunct w:val="0"/>
        <w:bidi w:val="0"/>
        <w:spacing w:line="560" w:lineRule="exact"/>
        <w:ind w:firstLine="640" w:firstLineChars="200"/>
        <w:jc w:val="both"/>
        <w:textAlignment w:val="auto"/>
        <w:rPr>
          <w:rFonts w:eastAsia="黑体"/>
          <w:sz w:val="32"/>
          <w:szCs w:val="32"/>
        </w:rPr>
      </w:pPr>
      <w:r>
        <w:rPr>
          <w:rFonts w:eastAsia="黑体"/>
          <w:sz w:val="32"/>
          <w:szCs w:val="32"/>
        </w:rPr>
        <w:t>六、</w:t>
      </w:r>
      <w:r>
        <w:rPr>
          <w:rFonts w:hint="eastAsia" w:eastAsia="黑体"/>
          <w:sz w:val="32"/>
          <w:szCs w:val="32"/>
        </w:rPr>
        <w:t>资金使用及</w:t>
      </w:r>
      <w:r>
        <w:rPr>
          <w:rFonts w:eastAsia="黑体"/>
          <w:sz w:val="32"/>
          <w:szCs w:val="32"/>
        </w:rPr>
        <w:t>绩效情况</w:t>
      </w:r>
    </w:p>
    <w:p>
      <w:pPr>
        <w:keepNext w:val="0"/>
        <w:keepLines w:val="0"/>
        <w:pageBreakBefore w:val="0"/>
        <w:kinsoku/>
        <w:wordWrap/>
        <w:overflowPunct/>
        <w:topLinePunct w:val="0"/>
        <w:bidi w:val="0"/>
        <w:spacing w:line="560" w:lineRule="exact"/>
        <w:ind w:firstLine="643" w:firstLineChars="200"/>
        <w:jc w:val="both"/>
        <w:textAlignment w:val="auto"/>
        <w:rPr>
          <w:rFonts w:eastAsia="楷体_GB2312"/>
          <w:b/>
          <w:sz w:val="32"/>
          <w:szCs w:val="32"/>
        </w:rPr>
      </w:pPr>
      <w:r>
        <w:rPr>
          <w:rFonts w:hint="eastAsia" w:eastAsia="楷体_GB2312"/>
          <w:b/>
          <w:sz w:val="32"/>
          <w:szCs w:val="32"/>
        </w:rPr>
        <w:t>(一）部门整体支出绩效情况</w:t>
      </w:r>
    </w:p>
    <w:p>
      <w:pPr>
        <w:keepNext w:val="0"/>
        <w:keepLines w:val="0"/>
        <w:pageBreakBefore w:val="0"/>
        <w:kinsoku/>
        <w:wordWrap/>
        <w:overflowPunct/>
        <w:topLinePunct w:val="0"/>
        <w:bidi w:val="0"/>
        <w:spacing w:line="560" w:lineRule="exact"/>
        <w:ind w:firstLine="640" w:firstLineChars="200"/>
        <w:jc w:val="both"/>
        <w:textAlignment w:val="auto"/>
        <w:rPr>
          <w:rFonts w:eastAsia="仿宋_GB2312"/>
          <w:sz w:val="32"/>
          <w:szCs w:val="32"/>
        </w:rPr>
      </w:pPr>
      <w:r>
        <w:rPr>
          <w:rFonts w:hint="eastAsia" w:eastAsia="仿宋_GB2312"/>
          <w:sz w:val="32"/>
          <w:szCs w:val="32"/>
        </w:rPr>
        <w:t>芦淞区残联的基本支出主要为用于保障机构正常运转、完成日常工作而发生的支出，包括人员经费和公用经费等。202</w:t>
      </w:r>
      <w:r>
        <w:rPr>
          <w:rFonts w:eastAsia="仿宋_GB2312"/>
          <w:sz w:val="32"/>
          <w:szCs w:val="32"/>
        </w:rPr>
        <w:t>1</w:t>
      </w:r>
      <w:r>
        <w:rPr>
          <w:rFonts w:hint="eastAsia" w:eastAsia="仿宋_GB2312"/>
          <w:sz w:val="32"/>
          <w:szCs w:val="32"/>
        </w:rPr>
        <w:t>年基本支出合计</w:t>
      </w:r>
      <w:r>
        <w:rPr>
          <w:rFonts w:eastAsia="仿宋_GB2312"/>
          <w:sz w:val="32"/>
          <w:szCs w:val="32"/>
        </w:rPr>
        <w:t>71.71</w:t>
      </w:r>
      <w:r>
        <w:rPr>
          <w:rFonts w:hint="eastAsia" w:eastAsia="仿宋_GB2312"/>
          <w:sz w:val="32"/>
          <w:szCs w:val="32"/>
        </w:rPr>
        <w:t>万元。其中： 1、工资福利支出</w:t>
      </w:r>
      <w:r>
        <w:rPr>
          <w:rFonts w:eastAsia="仿宋_GB2312"/>
          <w:sz w:val="32"/>
          <w:szCs w:val="32"/>
        </w:rPr>
        <w:t>66.57</w:t>
      </w:r>
      <w:r>
        <w:rPr>
          <w:rFonts w:hint="eastAsia" w:eastAsia="仿宋_GB2312"/>
          <w:sz w:val="32"/>
          <w:szCs w:val="32"/>
        </w:rPr>
        <w:t>万元。工资福利支出为芦淞区残联行政运行的基本工资、津贴补贴、奖金、机关事业单位基本养老保险缴费、职工基本医疗保险缴费、其他社会保障缴费、住房公积金、医疗费。 2、商品和服务支出4.7</w:t>
      </w:r>
      <w:r>
        <w:rPr>
          <w:rFonts w:eastAsia="仿宋_GB2312"/>
          <w:sz w:val="32"/>
          <w:szCs w:val="32"/>
        </w:rPr>
        <w:t>4</w:t>
      </w:r>
      <w:r>
        <w:rPr>
          <w:rFonts w:hint="eastAsia" w:eastAsia="仿宋_GB2312"/>
          <w:sz w:val="32"/>
          <w:szCs w:val="32"/>
        </w:rPr>
        <w:t>万元。商品和服务支出为芦淞区残联行政运行的办公费、邮电费、差旅费、委托业务费、工会经费、其他商品和服务等。3、对个人和家庭的补助支出</w:t>
      </w:r>
      <w:r>
        <w:rPr>
          <w:rFonts w:eastAsia="仿宋_GB2312"/>
          <w:sz w:val="32"/>
          <w:szCs w:val="32"/>
        </w:rPr>
        <w:t>0.6</w:t>
      </w:r>
      <w:r>
        <w:rPr>
          <w:rFonts w:hint="eastAsia" w:eastAsia="仿宋_GB2312"/>
          <w:sz w:val="32"/>
          <w:szCs w:val="32"/>
        </w:rPr>
        <w:t>万元。对个人和家庭的补助为生活补助支出。4、芦淞区残联 202</w:t>
      </w:r>
      <w:r>
        <w:rPr>
          <w:rFonts w:eastAsia="仿宋_GB2312"/>
          <w:sz w:val="32"/>
          <w:szCs w:val="32"/>
        </w:rPr>
        <w:t>1</w:t>
      </w:r>
      <w:r>
        <w:rPr>
          <w:rFonts w:hint="eastAsia" w:eastAsia="仿宋_GB2312"/>
          <w:sz w:val="32"/>
          <w:szCs w:val="32"/>
        </w:rPr>
        <w:t>年度无“三公”经费财政拨款支出。</w:t>
      </w:r>
    </w:p>
    <w:p>
      <w:pPr>
        <w:keepNext w:val="0"/>
        <w:keepLines w:val="0"/>
        <w:pageBreakBefore w:val="0"/>
        <w:kinsoku/>
        <w:wordWrap/>
        <w:overflowPunct/>
        <w:topLinePunct w:val="0"/>
        <w:bidi w:val="0"/>
        <w:spacing w:line="560" w:lineRule="exact"/>
        <w:ind w:firstLine="640" w:firstLineChars="200"/>
        <w:jc w:val="both"/>
        <w:textAlignment w:val="auto"/>
        <w:rPr>
          <w:rFonts w:eastAsia="仿宋_GB2312"/>
          <w:sz w:val="32"/>
          <w:szCs w:val="32"/>
        </w:rPr>
      </w:pPr>
      <w:r>
        <w:rPr>
          <w:rFonts w:hint="eastAsia" w:eastAsia="仿宋_GB2312"/>
          <w:sz w:val="32"/>
          <w:szCs w:val="32"/>
        </w:rPr>
        <w:t>一年来，区残联在区委、区政府和市残联的正确领导下，</w:t>
      </w:r>
      <w:r>
        <w:rPr>
          <w:rFonts w:hint="eastAsia" w:ascii="仿宋_GB2312" w:hAnsi="仿宋_GB2312" w:eastAsia="仿宋_GB2312" w:cs="仿宋_GB2312"/>
          <w:sz w:val="32"/>
          <w:szCs w:val="32"/>
        </w:rPr>
        <w:t>在区有关部门和社会各界的大力支持下，区残联以习近平新时代中国特色社会主义思想为指导，全面贯彻党的十九大精神，深入学习贯彻习近平总书记关于加强残疾人工作的重要论述</w:t>
      </w:r>
      <w:r>
        <w:rPr>
          <w:rFonts w:hint="eastAsia" w:ascii="仿宋_GB2312" w:hAnsi="仿宋" w:eastAsia="仿宋_GB2312"/>
          <w:sz w:val="32"/>
          <w:szCs w:val="32"/>
          <w:shd w:val="clear" w:color="auto" w:fill="FFFFFF"/>
        </w:rPr>
        <w:t>以及视察湖南重要讲话精神，认真落实</w:t>
      </w:r>
      <w:r>
        <w:rPr>
          <w:rFonts w:hint="eastAsia" w:ascii="仿宋_GB2312" w:hAnsi="微软雅黑" w:eastAsia="仿宋_GB2312"/>
          <w:sz w:val="32"/>
          <w:szCs w:val="32"/>
          <w:shd w:val="clear" w:color="auto" w:fill="FFFFFF"/>
        </w:rPr>
        <w:t>中央、省、市、区委决策部署，</w:t>
      </w:r>
      <w:r>
        <w:rPr>
          <w:rFonts w:hint="eastAsia" w:eastAsia="仿宋_GB2312"/>
          <w:sz w:val="32"/>
          <w:szCs w:val="32"/>
        </w:rPr>
        <w:t>紧紧围绕改善残疾人生活质量和平等参与社会生活这一主线，深化残疾人民生保障和基本公共服务体系“两个体系”建设，突出就业创业、精准康复、法律维权，着力增加残疾人收入，着力促进残疾人全面发展，</w:t>
      </w:r>
      <w:r>
        <w:rPr>
          <w:rFonts w:hint="eastAsia" w:ascii="仿宋_GB2312" w:hAnsi="微软雅黑" w:eastAsia="仿宋_GB2312"/>
          <w:sz w:val="32"/>
          <w:szCs w:val="32"/>
          <w:shd w:val="clear" w:color="auto" w:fill="FFFFFF"/>
        </w:rPr>
        <w:t>全力提升残疾人服务能力和保障水平，</w:t>
      </w:r>
      <w:r>
        <w:rPr>
          <w:rFonts w:hint="eastAsia" w:ascii="仿宋_GB2312" w:hAnsi="仿宋_GB2312" w:eastAsia="仿宋_GB2312" w:cs="仿宋_GB2312"/>
          <w:sz w:val="32"/>
          <w:szCs w:val="32"/>
        </w:rPr>
        <w:t>圆满完成了各项工作。</w:t>
      </w:r>
      <w:r>
        <w:rPr>
          <w:rFonts w:hint="eastAsia" w:eastAsia="仿宋_GB2312"/>
          <w:sz w:val="32"/>
          <w:szCs w:val="32"/>
        </w:rPr>
        <w:t>经反馈，芦淞区社会各界对芦淞区残联履职情况满意占 92.</w:t>
      </w:r>
      <w:r>
        <w:rPr>
          <w:rFonts w:eastAsia="仿宋_GB2312"/>
          <w:sz w:val="32"/>
          <w:szCs w:val="32"/>
        </w:rPr>
        <w:t>42</w:t>
      </w:r>
      <w:r>
        <w:rPr>
          <w:rFonts w:hint="eastAsia" w:eastAsia="仿宋_GB2312"/>
          <w:sz w:val="32"/>
          <w:szCs w:val="32"/>
        </w:rPr>
        <w:t>%，基本满意占7</w:t>
      </w:r>
      <w:r>
        <w:rPr>
          <w:rFonts w:eastAsia="仿宋_GB2312"/>
          <w:sz w:val="32"/>
          <w:szCs w:val="32"/>
        </w:rPr>
        <w:t>.58</w:t>
      </w:r>
      <w:r>
        <w:rPr>
          <w:rFonts w:hint="eastAsia" w:eastAsia="仿宋_GB2312"/>
          <w:sz w:val="32"/>
          <w:szCs w:val="32"/>
        </w:rPr>
        <w:t>%，不满意占 0%。</w:t>
      </w:r>
    </w:p>
    <w:p>
      <w:pPr>
        <w:keepNext w:val="0"/>
        <w:keepLines w:val="0"/>
        <w:pageBreakBefore w:val="0"/>
        <w:kinsoku/>
        <w:wordWrap/>
        <w:overflowPunct/>
        <w:topLinePunct w:val="0"/>
        <w:bidi w:val="0"/>
        <w:spacing w:line="560" w:lineRule="exact"/>
        <w:ind w:firstLine="643" w:firstLineChars="200"/>
        <w:jc w:val="both"/>
        <w:textAlignment w:val="auto"/>
        <w:rPr>
          <w:rFonts w:eastAsia="楷体_GB2312"/>
          <w:b/>
          <w:sz w:val="32"/>
          <w:szCs w:val="32"/>
        </w:rPr>
      </w:pPr>
      <w:r>
        <w:rPr>
          <w:rFonts w:hint="eastAsia" w:eastAsia="楷体_GB2312"/>
          <w:b/>
          <w:sz w:val="32"/>
          <w:szCs w:val="32"/>
        </w:rPr>
        <w:t>（二）专项资金支出绩效情况</w:t>
      </w:r>
    </w:p>
    <w:p>
      <w:pPr>
        <w:pStyle w:val="6"/>
        <w:keepNext w:val="0"/>
        <w:keepLines w:val="0"/>
        <w:pageBreakBefore w:val="0"/>
        <w:shd w:val="clear" w:color="auto" w:fill="FFFFFF"/>
        <w:kinsoku/>
        <w:wordWrap/>
        <w:overflowPunct/>
        <w:topLinePunct w:val="0"/>
        <w:bidi w:val="0"/>
        <w:spacing w:before="0" w:beforeAutospacing="0" w:after="0" w:afterAutospacing="0" w:line="560" w:lineRule="exact"/>
        <w:ind w:firstLine="643"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Style w:val="9"/>
          <w:rFonts w:hint="eastAsia" w:ascii="仿宋_GB2312" w:hAnsi="仿宋_GB2312" w:eastAsia="仿宋_GB2312" w:cs="仿宋_GB2312"/>
          <w:sz w:val="32"/>
          <w:szCs w:val="32"/>
        </w:rPr>
        <w:t>确保残疾人基本权益落地落实。</w:t>
      </w:r>
      <w:r>
        <w:rPr>
          <w:rFonts w:hint="eastAsia" w:ascii="仿宋_GB2312" w:hAnsi="仿宋_GB2312" w:eastAsia="仿宋_GB2312" w:cs="仿宋_GB2312"/>
          <w:sz w:val="32"/>
          <w:szCs w:val="32"/>
        </w:rPr>
        <w:t>持续落实残疾人各项社会保障政策，普惠政策实施成效显著。落实城乡贫困重度残疾人参加城乡居民基本社会保险补贴、基本医疗保险补贴全覆盖。落实残疾人助学补贴政策，给予54名残疾学生和困难残疾人家庭子女11.3万元学费补贴。积极对接辖区教育部门，协调实现172名残疾儿童少年顺利入学。完成30户贫困残疾人家庭无障碍设施改造。继续做好重点对象帮扶工作，全年走访、救助400余名困难残疾人。积极落实</w:t>
      </w:r>
      <w:r>
        <w:rPr>
          <w:rFonts w:hint="eastAsia" w:ascii="仿宋_GB2312" w:hAnsi="仿宋_GB2312" w:eastAsia="仿宋_GB2312" w:cs="仿宋_GB2312"/>
          <w:sz w:val="32"/>
          <w:szCs w:val="32"/>
          <w:shd w:val="clear" w:color="auto" w:fill="FFFFFF"/>
        </w:rPr>
        <w:t>疫情防控期间残疾人稳岗就业房租补贴政策，区残联通过入户调查、电话回访等方式，对全区上报的134家申领的各项补贴门店、企业进行摸底调查，逐一核实，做到“应补尽补、一个不漏”，确定符合稳岗补贴的门店、企业50家，发放稳岗补贴 10万元，减少疫情带来的影响，提高了残疾人的满意度。</w:t>
      </w:r>
    </w:p>
    <w:p>
      <w:pPr>
        <w:keepNext w:val="0"/>
        <w:keepLines w:val="0"/>
        <w:pageBreakBefore w:val="0"/>
        <w:kinsoku/>
        <w:wordWrap/>
        <w:overflowPunct/>
        <w:topLinePunct w:val="0"/>
        <w:bidi w:val="0"/>
        <w:spacing w:line="560" w:lineRule="exact"/>
        <w:ind w:firstLine="643"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二是积极推进精准康复服务质量。</w:t>
      </w:r>
      <w:r>
        <w:rPr>
          <w:rFonts w:hint="eastAsia" w:ascii="仿宋_GB2312" w:hAnsi="仿宋_GB2312" w:eastAsia="仿宋_GB2312" w:cs="仿宋_GB2312"/>
          <w:kern w:val="0"/>
          <w:sz w:val="32"/>
          <w:szCs w:val="32"/>
        </w:rPr>
        <w:t>坚持“应训尽训”原则，</w:t>
      </w:r>
      <w:r>
        <w:rPr>
          <w:rFonts w:hint="eastAsia" w:ascii="仿宋_GB2312" w:hAnsi="仿宋_GB2312" w:eastAsia="仿宋_GB2312" w:cs="仿宋_GB2312"/>
          <w:bCs/>
          <w:sz w:val="32"/>
          <w:szCs w:val="32"/>
        </w:rPr>
        <w:t>对63名残疾儿童开展精准、</w:t>
      </w:r>
      <w:r>
        <w:rPr>
          <w:rFonts w:hint="eastAsia" w:ascii="仿宋_GB2312" w:hAnsi="仿宋_GB2312" w:eastAsia="仿宋_GB2312" w:cs="仿宋_GB2312"/>
          <w:sz w:val="32"/>
          <w:szCs w:val="32"/>
        </w:rPr>
        <w:t>及时、有效的康复训练；为420名精神病患者提供门诊服药救助；认真开展残疾人辅助器具服务，不断提高适配服务能力，完成辅具发放345人次。</w:t>
      </w:r>
      <w:r>
        <w:rPr>
          <w:rFonts w:hint="eastAsia" w:ascii="仿宋_GB2312" w:hAnsi="仿宋_GB2312" w:eastAsia="仿宋_GB2312" w:cs="仿宋_GB2312"/>
          <w:kern w:val="0"/>
          <w:sz w:val="32"/>
          <w:szCs w:val="32"/>
        </w:rPr>
        <w:t>利用</w:t>
      </w:r>
      <w:r>
        <w:rPr>
          <w:rFonts w:hint="eastAsia" w:ascii="仿宋_GB2312" w:hAnsi="仿宋_GB2312" w:eastAsia="仿宋_GB2312" w:cs="仿宋_GB2312"/>
          <w:sz w:val="32"/>
          <w:szCs w:val="32"/>
        </w:rPr>
        <w:t>“残疾预防日”、“爱眼日”、“爱耳日”、“世界孤独症日”、“精神卫生日”、“唐氏综合征日”等节点，广泛开展残疾预防和康复知识宣传教育活动。</w:t>
      </w:r>
    </w:p>
    <w:p>
      <w:pPr>
        <w:keepNext w:val="0"/>
        <w:keepLines w:val="0"/>
        <w:pageBreakBefore w:val="0"/>
        <w:kinsoku/>
        <w:wordWrap/>
        <w:overflowPunct/>
        <w:topLinePunct w:val="0"/>
        <w:bidi w:val="0"/>
        <w:spacing w:line="560" w:lineRule="exact"/>
        <w:ind w:firstLine="643" w:firstLineChars="200"/>
        <w:jc w:val="both"/>
        <w:textAlignment w:val="auto"/>
        <w:rPr>
          <w:rFonts w:ascii="仿宋_GB2312" w:hAnsi="仿宋_GB2312" w:eastAsia="仿宋_GB2312" w:cs="仿宋_GB2312"/>
          <w:bCs/>
          <w:sz w:val="32"/>
          <w:szCs w:val="32"/>
        </w:rPr>
      </w:pPr>
      <w:r>
        <w:rPr>
          <w:rFonts w:hint="eastAsia" w:ascii="仿宋_GB2312" w:hAnsi="仿宋_GB2312" w:eastAsia="仿宋_GB2312" w:cs="仿宋_GB2312"/>
          <w:b/>
          <w:bCs/>
          <w:sz w:val="32"/>
          <w:szCs w:val="32"/>
        </w:rPr>
        <w:t>三是提升残疾人托养服务能力。</w:t>
      </w:r>
      <w:r>
        <w:rPr>
          <w:rFonts w:hint="eastAsia" w:ascii="仿宋_GB2312" w:hAnsi="仿宋_GB2312" w:eastAsia="仿宋_GB2312" w:cs="仿宋_GB2312"/>
          <w:bCs/>
          <w:sz w:val="32"/>
          <w:szCs w:val="32"/>
        </w:rPr>
        <w:t>不断提高托养机构规范化、专业化、制度化建设水平，继续实施残疾人托养服务项目，为就业年龄段的240名智力、精神和重度肢体残疾人提供居家托养和日间照料服务。同时，依托机构开展残疾人辅助性就业，实现特殊人群不同程度的增收，安康、盛康托养中心均被评为全省</w:t>
      </w:r>
      <w:r>
        <w:rPr>
          <w:rFonts w:hint="eastAsia" w:ascii="仿宋_GB2312" w:hAnsi="仿宋_GB2312" w:eastAsia="仿宋_GB2312" w:cs="仿宋_GB2312"/>
          <w:sz w:val="32"/>
          <w:szCs w:val="32"/>
        </w:rPr>
        <w:t>辅助性（支持性）就业示范机构</w:t>
      </w:r>
      <w:r>
        <w:rPr>
          <w:rFonts w:hint="eastAsia" w:ascii="仿宋_GB2312" w:hAnsi="仿宋_GB2312" w:eastAsia="仿宋_GB2312" w:cs="仿宋_GB2312"/>
          <w:bCs/>
          <w:sz w:val="32"/>
          <w:szCs w:val="32"/>
        </w:rPr>
        <w:t>。选送选手参加全国残疾人职业技能竞赛获第一名，组织团队参加全市残疾人岗位能手职业技能竞赛获团体第一名。</w:t>
      </w:r>
    </w:p>
    <w:p>
      <w:pPr>
        <w:keepNext w:val="0"/>
        <w:keepLines w:val="0"/>
        <w:pageBreakBefore w:val="0"/>
        <w:kinsoku/>
        <w:wordWrap/>
        <w:overflowPunct/>
        <w:topLinePunct w:val="0"/>
        <w:bidi w:val="0"/>
        <w:adjustRightInd w:val="0"/>
        <w:snapToGrid w:val="0"/>
        <w:spacing w:line="560" w:lineRule="exact"/>
        <w:ind w:firstLine="643" w:firstLineChars="200"/>
        <w:jc w:val="both"/>
        <w:textAlignment w:val="auto"/>
        <w:rPr>
          <w:rFonts w:ascii="仿宋_GB2312" w:hAnsi="仿宋_GB2312" w:eastAsia="仿宋_GB2312" w:cs="仿宋_GB2312"/>
          <w:bCs/>
          <w:sz w:val="32"/>
          <w:szCs w:val="32"/>
        </w:rPr>
      </w:pPr>
      <w:r>
        <w:rPr>
          <w:rFonts w:hint="eastAsia" w:ascii="仿宋_GB2312" w:hAnsi="仿宋_GB2312" w:eastAsia="仿宋_GB2312" w:cs="仿宋_GB2312"/>
          <w:b/>
          <w:bCs/>
          <w:sz w:val="32"/>
          <w:szCs w:val="32"/>
        </w:rPr>
        <w:t>四是持续推进残疾人就业创业。</w:t>
      </w:r>
      <w:r>
        <w:rPr>
          <w:rFonts w:hint="eastAsia" w:ascii="仿宋_GB2312" w:hAnsi="仿宋_GB2312" w:eastAsia="仿宋_GB2312" w:cs="仿宋_GB2312"/>
          <w:bCs/>
          <w:sz w:val="32"/>
          <w:szCs w:val="32"/>
        </w:rPr>
        <w:t>继续开展残疾人就业帮扶工作，组织100余名有就业意向的残疾人参加现场招聘会或通过手机“诸事达”实现网上求职；认真落实按比例安排残疾人就业政策，积极推动区残工委成员单位带头安排残疾人就业。完成企事业单位年审35家，安排残疾人就业97余人；对符合条件的5名残疾人给予创业扶持；举办各类培训7期，培训残疾人183人次；认真开展残疾人“阳光增收”项目，为35户贫困残疾人家庭进行了生产技术和物资帮扶，实现稳定增收。</w:t>
      </w:r>
    </w:p>
    <w:p>
      <w:pPr>
        <w:pStyle w:val="6"/>
        <w:keepNext w:val="0"/>
        <w:keepLines w:val="0"/>
        <w:pageBreakBefore w:val="0"/>
        <w:shd w:val="clear" w:color="auto" w:fill="FFFFFF"/>
        <w:kinsoku/>
        <w:wordWrap/>
        <w:overflowPunct/>
        <w:topLinePunct w:val="0"/>
        <w:bidi w:val="0"/>
        <w:spacing w:before="0" w:beforeAutospacing="0" w:after="0" w:afterAutospacing="0" w:line="560" w:lineRule="exact"/>
        <w:ind w:firstLine="643" w:firstLineChars="200"/>
        <w:jc w:val="both"/>
        <w:textAlignment w:val="auto"/>
        <w:rPr>
          <w:rFonts w:ascii="仿宋_GB2312" w:hAnsi="仿宋_GB2312" w:eastAsia="仿宋_GB2312" w:cs="仿宋_GB2312"/>
          <w:bCs/>
          <w:sz w:val="32"/>
          <w:szCs w:val="32"/>
        </w:rPr>
      </w:pPr>
      <w:r>
        <w:rPr>
          <w:rFonts w:hint="eastAsia" w:ascii="仿宋_GB2312" w:hAnsi="仿宋_GB2312" w:eastAsia="仿宋_GB2312" w:cs="仿宋_GB2312"/>
          <w:b/>
          <w:bCs/>
          <w:kern w:val="2"/>
          <w:sz w:val="32"/>
          <w:szCs w:val="32"/>
        </w:rPr>
        <w:t>五是引导残疾人更好参与融入社会生活。</w:t>
      </w:r>
      <w:r>
        <w:rPr>
          <w:rFonts w:hint="eastAsia" w:ascii="仿宋_GB2312" w:hAnsi="仿宋_GB2312" w:eastAsia="仿宋_GB2312" w:cs="仿宋_GB2312"/>
          <w:sz w:val="32"/>
          <w:szCs w:val="32"/>
        </w:rPr>
        <w:t>广泛开展残疾人文化艺术类活动，组织残疾人参加文化周、送春联等文化艺术类活动近10场，区辖残艺协获湖南省残疾人文化周书画作品评选优秀团队。</w:t>
      </w:r>
      <w:r>
        <w:rPr>
          <w:rFonts w:hint="eastAsia" w:ascii="仿宋_GB2312" w:hAnsi="仿宋_GB2312" w:eastAsia="仿宋_GB2312" w:cs="仿宋_GB2312"/>
          <w:bCs/>
          <w:sz w:val="32"/>
          <w:szCs w:val="32"/>
        </w:rPr>
        <w:t>先后向省市残联以及各级媒体媒体发表信息40余条，营造了残疾人事业发展的良好氛围。</w:t>
      </w:r>
    </w:p>
    <w:p>
      <w:pPr>
        <w:keepNext w:val="0"/>
        <w:keepLines w:val="0"/>
        <w:pageBreakBefore w:val="0"/>
        <w:kinsoku/>
        <w:wordWrap/>
        <w:overflowPunct/>
        <w:topLinePunct w:val="0"/>
        <w:bidi w:val="0"/>
        <w:adjustRightInd w:val="0"/>
        <w:spacing w:line="560" w:lineRule="exact"/>
        <w:ind w:firstLine="643"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六是规范残疾人证管理工作。</w:t>
      </w:r>
      <w:r>
        <w:rPr>
          <w:rFonts w:hint="eastAsia" w:ascii="仿宋_GB2312" w:hAnsi="仿宋_GB2312" w:eastAsia="仿宋_GB2312" w:cs="仿宋_GB2312"/>
          <w:sz w:val="32"/>
          <w:szCs w:val="32"/>
          <w:shd w:val="clear" w:color="auto" w:fill="FFFFFF"/>
        </w:rPr>
        <w:t>持续开展清理违规持有残疾人证“回头看”工作，</w:t>
      </w:r>
      <w:r>
        <w:rPr>
          <w:rFonts w:hint="eastAsia" w:ascii="仿宋_GB2312" w:hAnsi="仿宋_GB2312" w:eastAsia="仿宋_GB2312" w:cs="仿宋_GB2312"/>
          <w:sz w:val="32"/>
          <w:szCs w:val="32"/>
        </w:rPr>
        <w:t>从严把好受理审查关、医院鉴定关、审核审批关“三个关口”，确保一环扣一环、环环有监督、环环零差错。与区档案局共同梳理残疾人证档案整理方案，</w:t>
      </w:r>
      <w:r>
        <w:rPr>
          <w:rFonts w:hint="eastAsia" w:ascii="仿宋_GB2312" w:eastAsia="仿宋_GB2312"/>
          <w:sz w:val="32"/>
          <w:szCs w:val="32"/>
        </w:rPr>
        <w:t>清理全区2万余份残疾人档案，整理出6420份残疾人档案，实现“一人一号”，“一人一档”，并通过电子花名册和纸质目录的双重索引目录实现残疾人个人信息的精准查询，推进了残疾人证档案管理规范化、标准化，</w:t>
      </w:r>
    </w:p>
    <w:p>
      <w:pPr>
        <w:keepNext w:val="0"/>
        <w:keepLines w:val="0"/>
        <w:pageBreakBefore w:val="0"/>
        <w:kinsoku/>
        <w:wordWrap/>
        <w:overflowPunct/>
        <w:topLinePunct w:val="0"/>
        <w:bidi w:val="0"/>
        <w:adjustRightInd w:val="0"/>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提高了残疾人证管理水平。积极推进第三代残疾人证换发工作，通过多方协调实现了目测对象的残疾评定费用全免，新增残疾人评残鉴定费下调40%，切实减轻了残疾人负担。</w:t>
      </w:r>
    </w:p>
    <w:p>
      <w:pPr>
        <w:keepNext w:val="0"/>
        <w:keepLines w:val="0"/>
        <w:pageBreakBefore w:val="0"/>
        <w:kinsoku/>
        <w:wordWrap/>
        <w:overflowPunct/>
        <w:topLinePunct w:val="0"/>
        <w:bidi w:val="0"/>
        <w:adjustRightInd w:val="0"/>
        <w:spacing w:line="560" w:lineRule="exact"/>
        <w:ind w:firstLine="643"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七是认真开展状况调查。</w:t>
      </w:r>
      <w:r>
        <w:rPr>
          <w:rFonts w:hint="eastAsia" w:ascii="仿宋_GB2312" w:hAnsi="仿宋_GB2312" w:eastAsia="仿宋_GB2312" w:cs="仿宋_GB2312"/>
          <w:sz w:val="32"/>
          <w:szCs w:val="32"/>
        </w:rPr>
        <w:t>运用“互联网+”服务理念和信息化手段开展信息数据采集与分析，积极尝试残疾人基本信息状况调查常态化管理。认真开展专职委员业务培训，发放各类政策宣传资料万余份，与5059名登记对象开展零距离沟通，入户采集率达96%，APP信息采集率达99%，与教育、人社、医保、民政、扶贫等部门近2万余份数据进行交换共享，推进数据准确化、监控常态化、分析精准化，为找到找准残疾人工作的落脚点和发力点提供条件保障。</w:t>
      </w:r>
    </w:p>
    <w:p>
      <w:pPr>
        <w:pStyle w:val="6"/>
        <w:keepNext w:val="0"/>
        <w:keepLines w:val="0"/>
        <w:pageBreakBefore w:val="0"/>
        <w:kinsoku/>
        <w:wordWrap/>
        <w:overflowPunct/>
        <w:topLinePunct w:val="0"/>
        <w:bidi w:val="0"/>
        <w:spacing w:before="0" w:beforeAutospacing="0" w:after="0" w:afterAutospacing="0" w:line="560" w:lineRule="exact"/>
        <w:ind w:firstLine="643"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b/>
          <w:bCs/>
          <w:kern w:val="2"/>
          <w:sz w:val="32"/>
          <w:szCs w:val="32"/>
        </w:rPr>
        <w:t>八是不断优化业务办理流程。</w:t>
      </w:r>
      <w:r>
        <w:rPr>
          <w:rFonts w:hint="eastAsia" w:ascii="仿宋_GB2312" w:hAnsi="仿宋_GB2312" w:eastAsia="仿宋_GB2312" w:cs="仿宋_GB2312"/>
          <w:sz w:val="32"/>
          <w:szCs w:val="32"/>
        </w:rPr>
        <w:t>认真落实“一件事一次办”改革要求，进一步规范残联业务流程图，优化办事流程，缩短工作周期。专门梳理印发了《芦淞区惠残政策申报流程》，在全区第一批实现业务受理事项“全程代办”、“四级联动”、“全区通办”，真正做到了残疾人业务办理“即时受理”和“只跑一次”。</w:t>
      </w:r>
    </w:p>
    <w:p>
      <w:pPr>
        <w:keepNext w:val="0"/>
        <w:keepLines w:val="0"/>
        <w:pageBreakBefore w:val="0"/>
        <w:kinsoku/>
        <w:wordWrap/>
        <w:overflowPunct/>
        <w:topLinePunct w:val="0"/>
        <w:bidi w:val="0"/>
        <w:spacing w:line="560" w:lineRule="exact"/>
        <w:ind w:firstLine="640" w:firstLineChars="200"/>
        <w:jc w:val="both"/>
        <w:textAlignment w:val="auto"/>
        <w:rPr>
          <w:rFonts w:eastAsia="黑体"/>
          <w:sz w:val="32"/>
          <w:szCs w:val="32"/>
        </w:rPr>
      </w:pPr>
      <w:r>
        <w:rPr>
          <w:rFonts w:eastAsia="黑体"/>
          <w:sz w:val="32"/>
          <w:szCs w:val="32"/>
        </w:rPr>
        <w:t>七、存在的问题及原因分析</w:t>
      </w:r>
    </w:p>
    <w:p>
      <w:pPr>
        <w:keepNext w:val="0"/>
        <w:keepLines w:val="0"/>
        <w:pageBreakBefore w:val="0"/>
        <w:kinsoku/>
        <w:wordWrap/>
        <w:overflowPunct/>
        <w:topLinePunct w:val="0"/>
        <w:bidi w:val="0"/>
        <w:spacing w:line="560" w:lineRule="exact"/>
        <w:ind w:firstLine="640" w:firstLineChars="200"/>
        <w:jc w:val="both"/>
        <w:textAlignment w:val="auto"/>
        <w:rPr>
          <w:rFonts w:eastAsia="仿宋_GB2312"/>
          <w:sz w:val="32"/>
          <w:szCs w:val="32"/>
        </w:rPr>
      </w:pPr>
      <w:r>
        <w:rPr>
          <w:rFonts w:hint="eastAsia" w:eastAsia="仿宋_GB2312"/>
          <w:sz w:val="32"/>
          <w:szCs w:val="32"/>
        </w:rPr>
        <w:t>总体上项目预算规模与内容相匹配，总体成本控制较好，但预算编制的科学性与严谨性仍有待加强，所涉及各类资金分配应更加准确。</w:t>
      </w:r>
    </w:p>
    <w:p>
      <w:pPr>
        <w:keepNext w:val="0"/>
        <w:keepLines w:val="0"/>
        <w:pageBreakBefore w:val="0"/>
        <w:kinsoku/>
        <w:wordWrap/>
        <w:overflowPunct/>
        <w:topLinePunct w:val="0"/>
        <w:bidi w:val="0"/>
        <w:spacing w:line="560" w:lineRule="exact"/>
        <w:ind w:firstLine="640" w:firstLineChars="200"/>
        <w:jc w:val="both"/>
        <w:textAlignment w:val="auto"/>
        <w:rPr>
          <w:rFonts w:eastAsia="黑体"/>
          <w:sz w:val="32"/>
          <w:szCs w:val="32"/>
        </w:rPr>
      </w:pPr>
      <w:r>
        <w:rPr>
          <w:rFonts w:eastAsia="黑体"/>
          <w:sz w:val="32"/>
          <w:szCs w:val="32"/>
        </w:rPr>
        <w:t>八、下一步改进措施</w:t>
      </w:r>
    </w:p>
    <w:p>
      <w:pPr>
        <w:keepNext w:val="0"/>
        <w:keepLines w:val="0"/>
        <w:pageBreakBefore w:val="0"/>
        <w:kinsoku/>
        <w:wordWrap/>
        <w:overflowPunct/>
        <w:topLinePunct w:val="0"/>
        <w:bidi w:val="0"/>
        <w:spacing w:line="560" w:lineRule="exact"/>
        <w:ind w:firstLine="640" w:firstLineChars="200"/>
        <w:jc w:val="both"/>
        <w:textAlignment w:val="auto"/>
        <w:rPr>
          <w:rFonts w:eastAsia="仿宋_GB2312"/>
          <w:sz w:val="32"/>
          <w:szCs w:val="32"/>
        </w:rPr>
      </w:pPr>
      <w:r>
        <w:rPr>
          <w:rFonts w:hint="eastAsia" w:eastAsia="仿宋_GB2312"/>
          <w:sz w:val="32"/>
          <w:szCs w:val="32"/>
        </w:rPr>
        <w:t>加强预算编制的科学性与严谨性，提高分配各类资金的准确性。加强财务管理，确保资金运转流畅。明确绩效管理内容，抓好经费落实，配合相关部门，共同完成绩效管理工作。</w:t>
      </w:r>
    </w:p>
    <w:p>
      <w:pPr>
        <w:keepNext w:val="0"/>
        <w:keepLines w:val="0"/>
        <w:pageBreakBefore w:val="0"/>
        <w:kinsoku/>
        <w:wordWrap/>
        <w:overflowPunct/>
        <w:topLinePunct w:val="0"/>
        <w:bidi w:val="0"/>
        <w:spacing w:line="560" w:lineRule="exact"/>
        <w:ind w:firstLine="640" w:firstLineChars="200"/>
        <w:jc w:val="both"/>
        <w:textAlignment w:val="auto"/>
        <w:rPr>
          <w:rFonts w:eastAsia="黑体"/>
          <w:sz w:val="32"/>
          <w:szCs w:val="32"/>
        </w:rPr>
      </w:pPr>
      <w:r>
        <w:rPr>
          <w:rFonts w:eastAsia="黑体"/>
          <w:sz w:val="32"/>
          <w:szCs w:val="32"/>
        </w:rPr>
        <w:t>九、绩效自评结果拟应用和公开情况</w:t>
      </w:r>
    </w:p>
    <w:p>
      <w:pPr>
        <w:keepNext w:val="0"/>
        <w:keepLines w:val="0"/>
        <w:pageBreakBefore w:val="0"/>
        <w:kinsoku/>
        <w:wordWrap/>
        <w:overflowPunct/>
        <w:topLinePunct w:val="0"/>
        <w:bidi w:val="0"/>
        <w:spacing w:line="560" w:lineRule="exact"/>
        <w:ind w:firstLine="640" w:firstLineChars="200"/>
        <w:jc w:val="both"/>
        <w:textAlignment w:val="auto"/>
        <w:rPr>
          <w:rFonts w:eastAsia="仿宋_GB2312"/>
          <w:sz w:val="32"/>
          <w:szCs w:val="32"/>
        </w:rPr>
      </w:pPr>
      <w:r>
        <w:rPr>
          <w:rFonts w:hint="eastAsia" w:eastAsia="仿宋_GB2312"/>
          <w:sz w:val="32"/>
          <w:szCs w:val="32"/>
        </w:rPr>
        <w:t>根据预算绩效管理要求，本单位组织对 202</w:t>
      </w:r>
      <w:r>
        <w:rPr>
          <w:rFonts w:eastAsia="仿宋_GB2312"/>
          <w:sz w:val="32"/>
          <w:szCs w:val="32"/>
        </w:rPr>
        <w:t>1</w:t>
      </w:r>
      <w:r>
        <w:rPr>
          <w:rFonts w:hint="eastAsia" w:eastAsia="仿宋_GB2312"/>
          <w:sz w:val="32"/>
          <w:szCs w:val="32"/>
        </w:rPr>
        <w:t>年度部门整体支出开展了绩效自评，从评价情况来看，预算执行及时、有效，绩效目标得到较好实现，绩效管理水平不断提高。</w:t>
      </w:r>
    </w:p>
    <w:p>
      <w:pPr>
        <w:keepNext w:val="0"/>
        <w:keepLines w:val="0"/>
        <w:pageBreakBefore w:val="0"/>
        <w:kinsoku/>
        <w:wordWrap/>
        <w:overflowPunct/>
        <w:topLinePunct w:val="0"/>
        <w:bidi w:val="0"/>
        <w:spacing w:line="560" w:lineRule="exact"/>
        <w:ind w:firstLine="640" w:firstLineChars="200"/>
        <w:jc w:val="both"/>
        <w:textAlignment w:val="auto"/>
        <w:rPr>
          <w:rFonts w:eastAsia="仿宋_GB2312"/>
          <w:sz w:val="32"/>
          <w:szCs w:val="32"/>
        </w:rPr>
      </w:pPr>
      <w:r>
        <w:rPr>
          <w:rFonts w:hint="eastAsia" w:eastAsia="仿宋_GB2312"/>
          <w:sz w:val="32"/>
          <w:szCs w:val="32"/>
        </w:rPr>
        <w:t>本单位没有独立网站，</w:t>
      </w:r>
      <w:r>
        <w:rPr>
          <w:rFonts w:hint="eastAsia" w:eastAsia="仿宋_GB2312"/>
          <w:sz w:val="32"/>
          <w:szCs w:val="32"/>
          <w:lang w:eastAsia="zh-CN"/>
        </w:rPr>
        <w:t>自评结果</w:t>
      </w:r>
      <w:r>
        <w:rPr>
          <w:rFonts w:hint="eastAsia" w:eastAsia="仿宋_GB2312"/>
          <w:sz w:val="32"/>
          <w:szCs w:val="32"/>
        </w:rPr>
        <w:t>在芦淞区政府</w:t>
      </w:r>
      <w:r>
        <w:rPr>
          <w:rFonts w:hint="eastAsia" w:eastAsia="仿宋_GB2312"/>
          <w:sz w:val="32"/>
          <w:szCs w:val="32"/>
          <w:lang w:eastAsia="zh-CN"/>
        </w:rPr>
        <w:t>门户网</w:t>
      </w:r>
      <w:r>
        <w:rPr>
          <w:rFonts w:hint="eastAsia" w:eastAsia="仿宋_GB2312"/>
          <w:sz w:val="32"/>
          <w:szCs w:val="32"/>
        </w:rPr>
        <w:t>信息公开栏中公开。</w:t>
      </w:r>
    </w:p>
    <w:p>
      <w:pPr>
        <w:keepNext w:val="0"/>
        <w:keepLines w:val="0"/>
        <w:pageBreakBefore w:val="0"/>
        <w:kinsoku/>
        <w:wordWrap/>
        <w:overflowPunct/>
        <w:topLinePunct w:val="0"/>
        <w:bidi w:val="0"/>
        <w:spacing w:line="560" w:lineRule="exact"/>
        <w:ind w:firstLine="640" w:firstLineChars="200"/>
        <w:jc w:val="both"/>
        <w:textAlignment w:val="auto"/>
        <w:rPr>
          <w:rFonts w:eastAsia="黑体"/>
          <w:sz w:val="32"/>
          <w:szCs w:val="32"/>
        </w:rPr>
      </w:pPr>
      <w:r>
        <w:rPr>
          <w:rFonts w:hint="eastAsia" w:eastAsia="黑体"/>
          <w:sz w:val="32"/>
          <w:szCs w:val="32"/>
        </w:rPr>
        <w:t>十、</w:t>
      </w:r>
      <w:r>
        <w:rPr>
          <w:rFonts w:eastAsia="黑体"/>
          <w:sz w:val="32"/>
          <w:szCs w:val="32"/>
        </w:rPr>
        <w:t>其他需要说明的情况</w:t>
      </w:r>
    </w:p>
    <w:p>
      <w:pPr>
        <w:keepNext w:val="0"/>
        <w:keepLines w:val="0"/>
        <w:pageBreakBefore w:val="0"/>
        <w:kinsoku/>
        <w:wordWrap/>
        <w:overflowPunct/>
        <w:topLinePunct w:val="0"/>
        <w:bidi w:val="0"/>
        <w:spacing w:line="560" w:lineRule="exact"/>
        <w:ind w:firstLine="640" w:firstLineChars="200"/>
        <w:jc w:val="both"/>
        <w:textAlignment w:val="auto"/>
        <w:rPr>
          <w:rFonts w:hint="eastAsia" w:eastAsia="仿宋_GB2312"/>
          <w:sz w:val="32"/>
          <w:szCs w:val="32"/>
          <w:lang w:eastAsia="zh-CN"/>
        </w:rPr>
      </w:pPr>
      <w:r>
        <w:rPr>
          <w:rFonts w:hint="eastAsia" w:eastAsia="仿宋_GB2312"/>
          <w:sz w:val="32"/>
          <w:szCs w:val="32"/>
        </w:rPr>
        <w:t>无</w:t>
      </w:r>
      <w:r>
        <w:rPr>
          <w:rFonts w:hint="eastAsia" w:eastAsia="仿宋_GB2312"/>
          <w:sz w:val="32"/>
          <w:szCs w:val="32"/>
          <w:lang w:eastAsia="zh-CN"/>
        </w:rPr>
        <w:t>。</w:t>
      </w:r>
    </w:p>
    <w:p>
      <w:pPr>
        <w:keepNext w:val="0"/>
        <w:keepLines w:val="0"/>
        <w:pageBreakBefore w:val="0"/>
        <w:kinsoku/>
        <w:wordWrap/>
        <w:overflowPunct/>
        <w:topLinePunct w:val="0"/>
        <w:bidi w:val="0"/>
        <w:spacing w:line="560" w:lineRule="exact"/>
        <w:ind w:firstLine="640" w:firstLineChars="200"/>
        <w:jc w:val="both"/>
        <w:textAlignment w:val="auto"/>
        <w:rPr>
          <w:rFonts w:eastAsia="仿宋_GB2312"/>
          <w:kern w:val="0"/>
          <w:sz w:val="32"/>
          <w:szCs w:val="32"/>
        </w:rPr>
      </w:pPr>
    </w:p>
    <w:p>
      <w:pPr>
        <w:keepNext w:val="0"/>
        <w:keepLines w:val="0"/>
        <w:pageBreakBefore w:val="0"/>
        <w:kinsoku/>
        <w:wordWrap/>
        <w:overflowPunct/>
        <w:topLinePunct w:val="0"/>
        <w:bidi w:val="0"/>
        <w:spacing w:line="560" w:lineRule="exact"/>
        <w:ind w:firstLine="420" w:firstLineChars="200"/>
        <w:jc w:val="both"/>
        <w:textAlignment w:val="auto"/>
      </w:pP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90FF15"/>
    <w:multiLevelType w:val="singleLevel"/>
    <w:tmpl w:val="4890FF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YwZGVjMjRiMjI1ODA0ZDFlNjdlNTY2ZjczZjQ4ZDMifQ=="/>
  </w:docVars>
  <w:rsids>
    <w:rsidRoot w:val="006A2318"/>
    <w:rsid w:val="00004E70"/>
    <w:rsid w:val="0008539C"/>
    <w:rsid w:val="000B6B9C"/>
    <w:rsid w:val="002029EF"/>
    <w:rsid w:val="00207FA3"/>
    <w:rsid w:val="002E2F53"/>
    <w:rsid w:val="00326BC7"/>
    <w:rsid w:val="004826A7"/>
    <w:rsid w:val="004D6092"/>
    <w:rsid w:val="004F0B00"/>
    <w:rsid w:val="00566FED"/>
    <w:rsid w:val="00592C19"/>
    <w:rsid w:val="005A433C"/>
    <w:rsid w:val="005C0E09"/>
    <w:rsid w:val="006206CF"/>
    <w:rsid w:val="00660062"/>
    <w:rsid w:val="006A2318"/>
    <w:rsid w:val="006E4013"/>
    <w:rsid w:val="00775DE5"/>
    <w:rsid w:val="007A0808"/>
    <w:rsid w:val="008B6560"/>
    <w:rsid w:val="008C62A7"/>
    <w:rsid w:val="008E34A2"/>
    <w:rsid w:val="008F458D"/>
    <w:rsid w:val="00940508"/>
    <w:rsid w:val="00A06592"/>
    <w:rsid w:val="00A14364"/>
    <w:rsid w:val="00A56C8A"/>
    <w:rsid w:val="00A57A8F"/>
    <w:rsid w:val="00A8097C"/>
    <w:rsid w:val="00AD2558"/>
    <w:rsid w:val="00AD2ACD"/>
    <w:rsid w:val="00B126B4"/>
    <w:rsid w:val="00D5092F"/>
    <w:rsid w:val="00DF192B"/>
    <w:rsid w:val="00DF2127"/>
    <w:rsid w:val="00E55161"/>
    <w:rsid w:val="00E617D4"/>
    <w:rsid w:val="00F741BD"/>
    <w:rsid w:val="00F808E7"/>
    <w:rsid w:val="00FB113F"/>
    <w:rsid w:val="015876FF"/>
    <w:rsid w:val="016976BE"/>
    <w:rsid w:val="01A6665B"/>
    <w:rsid w:val="01EF5276"/>
    <w:rsid w:val="02665DCF"/>
    <w:rsid w:val="02A86D87"/>
    <w:rsid w:val="02AE4CCA"/>
    <w:rsid w:val="02D92DDA"/>
    <w:rsid w:val="03287320"/>
    <w:rsid w:val="03AE3AC0"/>
    <w:rsid w:val="03FA6217"/>
    <w:rsid w:val="046063A3"/>
    <w:rsid w:val="048E4A8E"/>
    <w:rsid w:val="04A8621F"/>
    <w:rsid w:val="052D1124"/>
    <w:rsid w:val="05841760"/>
    <w:rsid w:val="058C239E"/>
    <w:rsid w:val="06334EF1"/>
    <w:rsid w:val="06377F01"/>
    <w:rsid w:val="071E5F82"/>
    <w:rsid w:val="072B45AB"/>
    <w:rsid w:val="07BB6AF4"/>
    <w:rsid w:val="07EF4D29"/>
    <w:rsid w:val="08470747"/>
    <w:rsid w:val="0893725C"/>
    <w:rsid w:val="089572CF"/>
    <w:rsid w:val="08A00773"/>
    <w:rsid w:val="08A4283C"/>
    <w:rsid w:val="08EF0DD0"/>
    <w:rsid w:val="08F027B4"/>
    <w:rsid w:val="09783F74"/>
    <w:rsid w:val="0A3D57A2"/>
    <w:rsid w:val="0A4370BC"/>
    <w:rsid w:val="0A4D6F7D"/>
    <w:rsid w:val="0A94795B"/>
    <w:rsid w:val="0AB4192F"/>
    <w:rsid w:val="0B1F6B23"/>
    <w:rsid w:val="0B4524E9"/>
    <w:rsid w:val="0BA804E2"/>
    <w:rsid w:val="0BB94E2C"/>
    <w:rsid w:val="0BE27487"/>
    <w:rsid w:val="0C4F7C96"/>
    <w:rsid w:val="0C8E7A46"/>
    <w:rsid w:val="0C966F7F"/>
    <w:rsid w:val="0CCA6CB7"/>
    <w:rsid w:val="0CFF5FF0"/>
    <w:rsid w:val="0D1C42A9"/>
    <w:rsid w:val="0D366EDE"/>
    <w:rsid w:val="0D4B57FA"/>
    <w:rsid w:val="0D60161F"/>
    <w:rsid w:val="0E897C2B"/>
    <w:rsid w:val="0ED94D9B"/>
    <w:rsid w:val="0F957EE7"/>
    <w:rsid w:val="0F9A0948"/>
    <w:rsid w:val="0FA108F2"/>
    <w:rsid w:val="0FB873C3"/>
    <w:rsid w:val="10593E88"/>
    <w:rsid w:val="10C17504"/>
    <w:rsid w:val="10F06DED"/>
    <w:rsid w:val="11107299"/>
    <w:rsid w:val="1134034B"/>
    <w:rsid w:val="115176A2"/>
    <w:rsid w:val="129D6027"/>
    <w:rsid w:val="13242D1C"/>
    <w:rsid w:val="13A52CDF"/>
    <w:rsid w:val="146C1DD9"/>
    <w:rsid w:val="14BF24DE"/>
    <w:rsid w:val="14CC54C7"/>
    <w:rsid w:val="14E33844"/>
    <w:rsid w:val="14EA23A8"/>
    <w:rsid w:val="15A27FE2"/>
    <w:rsid w:val="1627453B"/>
    <w:rsid w:val="17197045"/>
    <w:rsid w:val="175C6F5E"/>
    <w:rsid w:val="179A7791"/>
    <w:rsid w:val="17DC3DC3"/>
    <w:rsid w:val="181F357B"/>
    <w:rsid w:val="188345AC"/>
    <w:rsid w:val="195E168F"/>
    <w:rsid w:val="196A7CDF"/>
    <w:rsid w:val="19C72BF8"/>
    <w:rsid w:val="19CA553D"/>
    <w:rsid w:val="1A4E2E8E"/>
    <w:rsid w:val="1AF51455"/>
    <w:rsid w:val="1B9D302A"/>
    <w:rsid w:val="1BF446CE"/>
    <w:rsid w:val="1C704031"/>
    <w:rsid w:val="1D271A66"/>
    <w:rsid w:val="1DCB47DF"/>
    <w:rsid w:val="1E601115"/>
    <w:rsid w:val="1EB03217"/>
    <w:rsid w:val="1F000FB0"/>
    <w:rsid w:val="1F111AD7"/>
    <w:rsid w:val="1F5A1E7F"/>
    <w:rsid w:val="1FA707DF"/>
    <w:rsid w:val="1FFE7B8C"/>
    <w:rsid w:val="203C025A"/>
    <w:rsid w:val="20775CA3"/>
    <w:rsid w:val="217A1AB1"/>
    <w:rsid w:val="22695B47"/>
    <w:rsid w:val="243235AA"/>
    <w:rsid w:val="24B10BAC"/>
    <w:rsid w:val="24D2061D"/>
    <w:rsid w:val="251132F3"/>
    <w:rsid w:val="253C38DE"/>
    <w:rsid w:val="25B24E22"/>
    <w:rsid w:val="25E9020D"/>
    <w:rsid w:val="262B4FF6"/>
    <w:rsid w:val="264810A7"/>
    <w:rsid w:val="265A7CC8"/>
    <w:rsid w:val="27014400"/>
    <w:rsid w:val="271B2298"/>
    <w:rsid w:val="276D0D8C"/>
    <w:rsid w:val="286C33CA"/>
    <w:rsid w:val="28E4125D"/>
    <w:rsid w:val="29BB6A7E"/>
    <w:rsid w:val="29EC49AF"/>
    <w:rsid w:val="2AC43DDE"/>
    <w:rsid w:val="2AEF4956"/>
    <w:rsid w:val="2B1C41DD"/>
    <w:rsid w:val="2BBE35CD"/>
    <w:rsid w:val="2BD6382B"/>
    <w:rsid w:val="2C7A0558"/>
    <w:rsid w:val="2C933EBB"/>
    <w:rsid w:val="2CDF6E04"/>
    <w:rsid w:val="2D284D02"/>
    <w:rsid w:val="2D3A266F"/>
    <w:rsid w:val="2D8470B0"/>
    <w:rsid w:val="2D85399E"/>
    <w:rsid w:val="2DC65E1F"/>
    <w:rsid w:val="2DF720F5"/>
    <w:rsid w:val="2E1C0F3D"/>
    <w:rsid w:val="2E69253C"/>
    <w:rsid w:val="2EEF2198"/>
    <w:rsid w:val="2F0246FC"/>
    <w:rsid w:val="2F080155"/>
    <w:rsid w:val="30343502"/>
    <w:rsid w:val="30470CFF"/>
    <w:rsid w:val="306918BE"/>
    <w:rsid w:val="30A37680"/>
    <w:rsid w:val="31AF70F0"/>
    <w:rsid w:val="32D24F00"/>
    <w:rsid w:val="32D963A9"/>
    <w:rsid w:val="32ED21B4"/>
    <w:rsid w:val="331926DE"/>
    <w:rsid w:val="35124AFB"/>
    <w:rsid w:val="35164EC9"/>
    <w:rsid w:val="35EE1AE6"/>
    <w:rsid w:val="36216ACD"/>
    <w:rsid w:val="36AD5505"/>
    <w:rsid w:val="36DB24F1"/>
    <w:rsid w:val="37904E67"/>
    <w:rsid w:val="3797204C"/>
    <w:rsid w:val="37A771FF"/>
    <w:rsid w:val="37B37AED"/>
    <w:rsid w:val="37EF7DFA"/>
    <w:rsid w:val="380A1D4B"/>
    <w:rsid w:val="38A54053"/>
    <w:rsid w:val="38D37D37"/>
    <w:rsid w:val="39312765"/>
    <w:rsid w:val="393A2055"/>
    <w:rsid w:val="399C1F0E"/>
    <w:rsid w:val="3A003CFF"/>
    <w:rsid w:val="3A1339C4"/>
    <w:rsid w:val="3AF63590"/>
    <w:rsid w:val="3B06110B"/>
    <w:rsid w:val="3B9B7004"/>
    <w:rsid w:val="3BCF551C"/>
    <w:rsid w:val="3C87456A"/>
    <w:rsid w:val="3CA231F4"/>
    <w:rsid w:val="3CDC3CFC"/>
    <w:rsid w:val="3CFC20B7"/>
    <w:rsid w:val="3E694CE7"/>
    <w:rsid w:val="3E835DD7"/>
    <w:rsid w:val="3EC819BA"/>
    <w:rsid w:val="3EEE35A4"/>
    <w:rsid w:val="3F7004CB"/>
    <w:rsid w:val="3FFC7781"/>
    <w:rsid w:val="405317F7"/>
    <w:rsid w:val="40754FF3"/>
    <w:rsid w:val="40CE715B"/>
    <w:rsid w:val="40D508AB"/>
    <w:rsid w:val="40E640CC"/>
    <w:rsid w:val="41D57B43"/>
    <w:rsid w:val="43141345"/>
    <w:rsid w:val="43420DA9"/>
    <w:rsid w:val="435C781C"/>
    <w:rsid w:val="437C0F5D"/>
    <w:rsid w:val="44B87D18"/>
    <w:rsid w:val="453A160B"/>
    <w:rsid w:val="45E2026E"/>
    <w:rsid w:val="45F85A17"/>
    <w:rsid w:val="463747B7"/>
    <w:rsid w:val="47212ECA"/>
    <w:rsid w:val="47323108"/>
    <w:rsid w:val="47D51345"/>
    <w:rsid w:val="47E11557"/>
    <w:rsid w:val="48196B29"/>
    <w:rsid w:val="4885603F"/>
    <w:rsid w:val="491722FF"/>
    <w:rsid w:val="491D74A7"/>
    <w:rsid w:val="497C7C2F"/>
    <w:rsid w:val="498307B4"/>
    <w:rsid w:val="49882B9B"/>
    <w:rsid w:val="49AF4809"/>
    <w:rsid w:val="49B324BE"/>
    <w:rsid w:val="4A3763F6"/>
    <w:rsid w:val="4A5007FC"/>
    <w:rsid w:val="4A885383"/>
    <w:rsid w:val="4AE85958"/>
    <w:rsid w:val="4AF51ADF"/>
    <w:rsid w:val="4AFD5436"/>
    <w:rsid w:val="4B7C2BF9"/>
    <w:rsid w:val="4B920728"/>
    <w:rsid w:val="4B9357A5"/>
    <w:rsid w:val="4BC67BFF"/>
    <w:rsid w:val="4C19263D"/>
    <w:rsid w:val="4C253F32"/>
    <w:rsid w:val="4C442E20"/>
    <w:rsid w:val="4C714499"/>
    <w:rsid w:val="4C845F8F"/>
    <w:rsid w:val="4D36566E"/>
    <w:rsid w:val="4DBB24B5"/>
    <w:rsid w:val="4E03467F"/>
    <w:rsid w:val="4EE91176"/>
    <w:rsid w:val="4EF96755"/>
    <w:rsid w:val="4EFF6E71"/>
    <w:rsid w:val="4F7317CB"/>
    <w:rsid w:val="4F7C135A"/>
    <w:rsid w:val="4FC01EDA"/>
    <w:rsid w:val="50281CF3"/>
    <w:rsid w:val="509154B6"/>
    <w:rsid w:val="50BB4683"/>
    <w:rsid w:val="50EC10F9"/>
    <w:rsid w:val="5177797E"/>
    <w:rsid w:val="52F6075F"/>
    <w:rsid w:val="53086FF5"/>
    <w:rsid w:val="534D0228"/>
    <w:rsid w:val="53AB142E"/>
    <w:rsid w:val="54207C51"/>
    <w:rsid w:val="54DA727F"/>
    <w:rsid w:val="54E65F5A"/>
    <w:rsid w:val="557D2E1D"/>
    <w:rsid w:val="55804F6C"/>
    <w:rsid w:val="564516B7"/>
    <w:rsid w:val="56685DC5"/>
    <w:rsid w:val="567C109E"/>
    <w:rsid w:val="567E6210"/>
    <w:rsid w:val="56933523"/>
    <w:rsid w:val="56BA55C6"/>
    <w:rsid w:val="57124CDD"/>
    <w:rsid w:val="576D1203"/>
    <w:rsid w:val="57837BDE"/>
    <w:rsid w:val="57935E95"/>
    <w:rsid w:val="58152013"/>
    <w:rsid w:val="58CE683B"/>
    <w:rsid w:val="58E11BAF"/>
    <w:rsid w:val="59A40B9B"/>
    <w:rsid w:val="5A3C1A0D"/>
    <w:rsid w:val="5A6A2A29"/>
    <w:rsid w:val="5A9244F7"/>
    <w:rsid w:val="5AF97A89"/>
    <w:rsid w:val="5B352171"/>
    <w:rsid w:val="5B514882"/>
    <w:rsid w:val="5B5C757D"/>
    <w:rsid w:val="5B6B124E"/>
    <w:rsid w:val="5D155819"/>
    <w:rsid w:val="5D656D7E"/>
    <w:rsid w:val="5DCE0C96"/>
    <w:rsid w:val="5DE454AE"/>
    <w:rsid w:val="5DEC70B2"/>
    <w:rsid w:val="5E1F095F"/>
    <w:rsid w:val="5E482C04"/>
    <w:rsid w:val="5E5D637B"/>
    <w:rsid w:val="5EC735B0"/>
    <w:rsid w:val="5F0F193D"/>
    <w:rsid w:val="5F2B6724"/>
    <w:rsid w:val="60C055B7"/>
    <w:rsid w:val="612D4EDB"/>
    <w:rsid w:val="61F20913"/>
    <w:rsid w:val="624B0B8B"/>
    <w:rsid w:val="62923B3C"/>
    <w:rsid w:val="62C32DEC"/>
    <w:rsid w:val="630D66DA"/>
    <w:rsid w:val="639F4202"/>
    <w:rsid w:val="63B0031B"/>
    <w:rsid w:val="640D5FD9"/>
    <w:rsid w:val="641E0B92"/>
    <w:rsid w:val="642C6292"/>
    <w:rsid w:val="643B0B1A"/>
    <w:rsid w:val="645E3C0F"/>
    <w:rsid w:val="647D1024"/>
    <w:rsid w:val="649324AE"/>
    <w:rsid w:val="64B66725"/>
    <w:rsid w:val="64C074E1"/>
    <w:rsid w:val="65025750"/>
    <w:rsid w:val="65191B9C"/>
    <w:rsid w:val="653021A9"/>
    <w:rsid w:val="65EB60C2"/>
    <w:rsid w:val="66022946"/>
    <w:rsid w:val="66A877C4"/>
    <w:rsid w:val="67303E4C"/>
    <w:rsid w:val="67347CE6"/>
    <w:rsid w:val="675A5E15"/>
    <w:rsid w:val="677549A9"/>
    <w:rsid w:val="67F2708D"/>
    <w:rsid w:val="68030691"/>
    <w:rsid w:val="689E76A5"/>
    <w:rsid w:val="68D63AB8"/>
    <w:rsid w:val="68DB1AF2"/>
    <w:rsid w:val="68E0427F"/>
    <w:rsid w:val="68F75735"/>
    <w:rsid w:val="694757F4"/>
    <w:rsid w:val="6B3B48D5"/>
    <w:rsid w:val="6BBF4B8D"/>
    <w:rsid w:val="6C630660"/>
    <w:rsid w:val="6C6E6460"/>
    <w:rsid w:val="6C9165DC"/>
    <w:rsid w:val="6C9331C1"/>
    <w:rsid w:val="6D2E13D1"/>
    <w:rsid w:val="6D3264BE"/>
    <w:rsid w:val="6D6D6826"/>
    <w:rsid w:val="6D9E11D0"/>
    <w:rsid w:val="6DCC19D2"/>
    <w:rsid w:val="6E224140"/>
    <w:rsid w:val="6E2E58DF"/>
    <w:rsid w:val="6E987E4E"/>
    <w:rsid w:val="6EE044A0"/>
    <w:rsid w:val="6F0F7BD0"/>
    <w:rsid w:val="6F1D59CD"/>
    <w:rsid w:val="6FE61A56"/>
    <w:rsid w:val="704C412C"/>
    <w:rsid w:val="70AD1C74"/>
    <w:rsid w:val="711C4732"/>
    <w:rsid w:val="72696BF8"/>
    <w:rsid w:val="734F28D5"/>
    <w:rsid w:val="734F3820"/>
    <w:rsid w:val="73F11B0B"/>
    <w:rsid w:val="7455119F"/>
    <w:rsid w:val="749B7B08"/>
    <w:rsid w:val="74B015AB"/>
    <w:rsid w:val="74BF00CF"/>
    <w:rsid w:val="74CF5344"/>
    <w:rsid w:val="75786376"/>
    <w:rsid w:val="75F34010"/>
    <w:rsid w:val="765D45B4"/>
    <w:rsid w:val="76735213"/>
    <w:rsid w:val="772B072A"/>
    <w:rsid w:val="778F1D5A"/>
    <w:rsid w:val="7836349E"/>
    <w:rsid w:val="78A55F95"/>
    <w:rsid w:val="794F5B82"/>
    <w:rsid w:val="79E234DF"/>
    <w:rsid w:val="7A0966D2"/>
    <w:rsid w:val="7A0F2FD7"/>
    <w:rsid w:val="7A1B3CD1"/>
    <w:rsid w:val="7A5B19C4"/>
    <w:rsid w:val="7A702BF0"/>
    <w:rsid w:val="7B091C7D"/>
    <w:rsid w:val="7B877F0B"/>
    <w:rsid w:val="7C511C26"/>
    <w:rsid w:val="7CA00AC6"/>
    <w:rsid w:val="7CEF5D73"/>
    <w:rsid w:val="7D00680F"/>
    <w:rsid w:val="7DED6266"/>
    <w:rsid w:val="7E1953C1"/>
    <w:rsid w:val="7E226C0D"/>
    <w:rsid w:val="7E294730"/>
    <w:rsid w:val="7E3B45BE"/>
    <w:rsid w:val="7EC4324E"/>
    <w:rsid w:val="7EF36598"/>
    <w:rsid w:val="7F811079"/>
    <w:rsid w:val="7F953939"/>
    <w:rsid w:val="7FD064E0"/>
    <w:rsid w:val="7FD323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qFormat/>
    <w:uiPriority w:val="0"/>
    <w:pPr>
      <w:ind w:left="800" w:leftChars="800"/>
    </w:pPr>
  </w:style>
  <w:style w:type="paragraph" w:styleId="3">
    <w:name w:val="Balloon Text"/>
    <w:basedOn w:val="1"/>
    <w:link w:val="14"/>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next w:val="2"/>
    <w:uiPriority w:val="99"/>
    <w:pPr>
      <w:widowControl/>
      <w:spacing w:before="100" w:beforeAutospacing="1" w:after="100" w:afterAutospacing="1"/>
      <w:jc w:val="left"/>
    </w:pPr>
    <w:rPr>
      <w:rFonts w:ascii="宋体" w:hAnsi="Calibri" w:cs="宋体"/>
      <w:kern w:val="0"/>
      <w:sz w:val="24"/>
    </w:rPr>
  </w:style>
  <w:style w:type="character" w:styleId="9">
    <w:name w:val="Strong"/>
    <w:basedOn w:val="8"/>
    <w:qFormat/>
    <w:uiPriority w:val="22"/>
    <w:rPr>
      <w:b/>
      <w:bCs/>
    </w:rPr>
  </w:style>
  <w:style w:type="paragraph" w:styleId="10">
    <w:name w:val="List Paragraph"/>
    <w:basedOn w:val="1"/>
    <w:qFormat/>
    <w:uiPriority w:val="99"/>
    <w:pPr>
      <w:ind w:firstLine="420" w:firstLineChars="200"/>
    </w:pPr>
    <w:rPr>
      <w:rFonts w:ascii="Calibri" w:hAnsi="Calibri"/>
      <w:szCs w:val="22"/>
    </w:rPr>
  </w:style>
  <w:style w:type="paragraph" w:customStyle="1" w:styleId="11">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character" w:customStyle="1" w:styleId="12">
    <w:name w:val="页眉 Char"/>
    <w:basedOn w:val="8"/>
    <w:link w:val="5"/>
    <w:qFormat/>
    <w:uiPriority w:val="0"/>
    <w:rPr>
      <w:rFonts w:ascii="Times New Roman" w:hAnsi="Times New Roman" w:eastAsia="宋体" w:cs="Times New Roman"/>
      <w:kern w:val="2"/>
      <w:sz w:val="18"/>
      <w:szCs w:val="18"/>
    </w:rPr>
  </w:style>
  <w:style w:type="character" w:customStyle="1" w:styleId="13">
    <w:name w:val="页脚 Char"/>
    <w:basedOn w:val="8"/>
    <w:link w:val="4"/>
    <w:qFormat/>
    <w:uiPriority w:val="0"/>
    <w:rPr>
      <w:rFonts w:ascii="Times New Roman" w:hAnsi="Times New Roman" w:eastAsia="宋体" w:cs="Times New Roman"/>
      <w:kern w:val="2"/>
      <w:sz w:val="18"/>
      <w:szCs w:val="18"/>
    </w:rPr>
  </w:style>
  <w:style w:type="character" w:customStyle="1" w:styleId="14">
    <w:name w:val="批注框文本 Char"/>
    <w:basedOn w:val="8"/>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9</Pages>
  <Words>4151</Words>
  <Characters>4322</Characters>
  <Lines>31</Lines>
  <Paragraphs>8</Paragraphs>
  <TotalTime>2</TotalTime>
  <ScaleCrop>false</ScaleCrop>
  <LinksUpToDate>false</LinksUpToDate>
  <CharactersWithSpaces>4330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2022-09-26T07:23:00Z</dcterms:created>
  <dc:creator>Administrator.BF-20190731HTSG</dc:creator>
  <cp:lastModifiedBy>Administrator</cp:lastModifiedBy>
  <dcterms:modified xsi:type="dcterms:W3CDTF">2022-12-07T03:40:15Z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46B1E17AE7754E13BA78DBD53DD7830E</vt:lpwstr>
  </property>
</Properties>
</file>