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rPr>
        <w:t>2021</w:t>
      </w:r>
      <w:r>
        <w:rPr>
          <w:rFonts w:eastAsia="方正小标宋_GBK"/>
          <w:sz w:val="48"/>
          <w:szCs w:val="48"/>
        </w:rPr>
        <w:t>年度</w:t>
      </w:r>
      <w:r>
        <w:rPr>
          <w:rFonts w:hint="eastAsia" w:eastAsia="方正小标宋_GBK"/>
          <w:sz w:val="48"/>
          <w:szCs w:val="48"/>
        </w:rPr>
        <w:t>株洲市芦淞区财政局整体</w:t>
      </w:r>
      <w:r>
        <w:rPr>
          <w:rFonts w:eastAsia="方正小标宋_GBK"/>
          <w:sz w:val="48"/>
          <w:szCs w:val="48"/>
        </w:rPr>
        <w:t>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32"/>
          <w:szCs w:val="32"/>
        </w:rPr>
      </w:pPr>
    </w:p>
    <w:p>
      <w:pPr>
        <w:spacing w:line="600" w:lineRule="exact"/>
        <w:rPr>
          <w:rFonts w:eastAsia="黑体"/>
          <w:sz w:val="32"/>
          <w:szCs w:val="32"/>
        </w:rPr>
      </w:pPr>
      <w:r>
        <w:rPr>
          <w:rFonts w:eastAsia="仿宋_GB2312"/>
          <w:sz w:val="32"/>
          <w:szCs w:val="32"/>
        </w:rPr>
        <w:br w:type="page"/>
      </w:r>
      <w:r>
        <w:rPr>
          <w:rFonts w:hint="eastAsia" w:eastAsia="仿宋_GB2312"/>
          <w:sz w:val="32"/>
          <w:szCs w:val="32"/>
          <w:lang w:val="en-US" w:eastAsia="zh-CN"/>
        </w:rPr>
        <w:t xml:space="preserve">     </w:t>
      </w: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（一）部门</w:t>
      </w:r>
      <w:bookmarkStart w:id="0" w:name="_GoBack"/>
      <w:bookmarkEnd w:id="0"/>
      <w:r>
        <w:rPr>
          <w:rFonts w:eastAsia="楷体_GB2312"/>
          <w:b/>
          <w:sz w:val="32"/>
          <w:szCs w:val="32"/>
        </w:rPr>
        <w:t>基本情况</w:t>
      </w:r>
    </w:p>
    <w:p>
      <w:pPr>
        <w:spacing w:line="560" w:lineRule="exact"/>
        <w:ind w:firstLine="640" w:firstLineChars="200"/>
        <w:jc w:val="left"/>
        <w:rPr>
          <w:rFonts w:eastAsia="楷体_GB2312"/>
          <w:b/>
          <w:sz w:val="32"/>
          <w:szCs w:val="32"/>
        </w:rPr>
      </w:pPr>
      <w:r>
        <w:rPr>
          <w:rFonts w:hint="eastAsia" w:ascii="仿宋_GB2312" w:hAnsi="宋体" w:eastAsia="仿宋_GB2312" w:cs="黑体"/>
          <w:color w:val="000000"/>
          <w:kern w:val="0"/>
          <w:sz w:val="32"/>
          <w:szCs w:val="32"/>
        </w:rPr>
        <w:t>株洲市芦淞区财政局是区政府主管工作部门，为正科级单位，共有编制人数32人，实有人数34人。局内设4个股室：办公室、预算股、国库股、业务综合股；局属事业单位4个：区财政投资评审中心、区国库集中支付核算中心、区乡镇财政服务中心、区财政事务中心。</w:t>
      </w:r>
    </w:p>
    <w:p>
      <w:pPr>
        <w:numPr>
          <w:ilvl w:val="0"/>
          <w:numId w:val="1"/>
        </w:numPr>
        <w:spacing w:line="600" w:lineRule="exact"/>
        <w:ind w:firstLine="643" w:firstLineChars="200"/>
        <w:rPr>
          <w:rFonts w:eastAsia="楷体_GB2312"/>
          <w:b/>
          <w:sz w:val="32"/>
          <w:szCs w:val="32"/>
        </w:rPr>
      </w:pPr>
      <w:r>
        <w:rPr>
          <w:rFonts w:eastAsia="楷体_GB2312"/>
          <w:b/>
          <w:sz w:val="32"/>
          <w:szCs w:val="32"/>
        </w:rPr>
        <w:t>部门（单位）年度整体支出绩效目标，</w:t>
      </w:r>
      <w:r>
        <w:rPr>
          <w:rFonts w:hint="eastAsia" w:eastAsia="楷体_GB2312"/>
          <w:b/>
          <w:sz w:val="32"/>
          <w:szCs w:val="32"/>
        </w:rPr>
        <w:t>部门</w:t>
      </w:r>
      <w:r>
        <w:rPr>
          <w:rFonts w:eastAsia="楷体_GB2312"/>
          <w:b/>
          <w:sz w:val="32"/>
          <w:szCs w:val="32"/>
        </w:rPr>
        <w:t>专项资金绩效目标、其他项目支出（除省级专项资金以外）绩效目标</w:t>
      </w:r>
    </w:p>
    <w:p>
      <w:pPr>
        <w:pStyle w:val="2"/>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年度整体支出绩效目标：实现绩效目标管理全覆盖，绩效监控逐步扩宽，绩效自评全覆盖，绩效评价结果广泛应用到2022年度预算编制；实现单位机关账务规范管理；提高财务管理人员的专业素养；促进各预算单位内控制度的建立和健全，防控财务风险；防范财政管理、债务、平台公司管理中的法律风险；编制年度区级财政预算草案并组织执行；编制区级财政总决算。</w:t>
      </w:r>
    </w:p>
    <w:p>
      <w:pPr>
        <w:pStyle w:val="2"/>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专项资金绩效目标：通过财政所工作目标绩效考核，使财政所制度建设更加健全，管理更加规范，财政所基础建设进一步夯实，人员素质得到提升，基层服务能力和水平得到不断提高；实现绩效目标管理全覆盖，绩效监控逐步扩宽，绩效自评全覆盖；完善内控制度，助推内控建设，促进预算单位不断完成内控制度，防控财务风险。</w:t>
      </w:r>
    </w:p>
    <w:p>
      <w:r>
        <w:rPr>
          <w:rFonts w:hint="eastAsia" w:ascii="仿宋_GB2312" w:hAnsi="仿宋_GB2312" w:eastAsia="仿宋_GB2312" w:cs="仿宋_GB2312"/>
          <w:sz w:val="32"/>
          <w:szCs w:val="32"/>
        </w:rPr>
        <w:t xml:space="preserve">    区级专项资金绩效目标：对电子财政信息平台运营、财政各系统和设备进行更新、维护。委托第三方进行平台公司清理整合咨询服务，完成剥离融资职能、公司合并协议签署、人员调整、取得债权人意见等。实现国有资产保值增值，做好区域系统性风险的防范。</w:t>
      </w:r>
    </w:p>
    <w:p>
      <w:pPr>
        <w:pStyle w:val="10"/>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0"/>
        <w:spacing w:line="600" w:lineRule="exact"/>
        <w:ind w:firstLine="640"/>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1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1、2021年预算资金</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6.47万元。</w:t>
      </w:r>
    </w:p>
    <w:p>
      <w:pPr>
        <w:pStyle w:val="1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2、2021年度单位一般公共预算财政拨款收入739.56万元。</w:t>
      </w:r>
    </w:p>
    <w:p>
      <w:pPr>
        <w:pStyle w:val="1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3.2021年度单位一般公共预算财政拨款支出739.56万元。</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其中：项目支出239.8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万元，基本支出499.74万元，其中：人员经费419.53万元，公用经费80.21万元。</w:t>
      </w:r>
    </w:p>
    <w:p>
      <w:pPr>
        <w:pStyle w:val="10"/>
        <w:numPr>
          <w:ilvl w:val="0"/>
          <w:numId w:val="2"/>
        </w:numPr>
        <w:spacing w:line="600" w:lineRule="exact"/>
        <w:ind w:firstLine="640"/>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1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1、财政补助资金项目支出15.0万元；2、财政管理专项项目支出132.81万元；3、财政信息化建设项目支出39.87万元；4、党建经费项目支出2.29万元；5、防疫经费项目支出2.93万元；6、国有资产管理46.92万元。</w:t>
      </w:r>
    </w:p>
    <w:p>
      <w:pPr>
        <w:pStyle w:val="10"/>
        <w:numPr>
          <w:ilvl w:val="0"/>
          <w:numId w:val="3"/>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pPr>
        <w:pStyle w:val="14"/>
        <w:spacing w:line="560" w:lineRule="exact"/>
        <w:ind w:firstLine="640" w:firstLineChars="200"/>
        <w:rPr>
          <w:rFonts w:ascii="Times New Roman" w:hAnsi="Times New Roman" w:eastAsia="黑体"/>
          <w:sz w:val="32"/>
          <w:szCs w:val="32"/>
        </w:rPr>
      </w:pPr>
      <w:r>
        <w:rPr>
          <w:rFonts w:hint="eastAsia" w:ascii="仿宋_GB2312" w:hAnsi="宋体" w:eastAsia="仿宋_GB2312"/>
          <w:sz w:val="32"/>
          <w:szCs w:val="32"/>
          <w:highlight w:val="none"/>
          <w:lang w:eastAsia="zh-CN"/>
        </w:rPr>
        <w:t>无。</w:t>
      </w:r>
    </w:p>
    <w:p>
      <w:pPr>
        <w:pStyle w:val="10"/>
        <w:numPr>
          <w:ilvl w:val="0"/>
          <w:numId w:val="3"/>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0"/>
        <w:spacing w:line="600" w:lineRule="exact"/>
        <w:ind w:firstLine="0" w:firstLineChars="0"/>
        <w:rPr>
          <w:rFonts w:hint="eastAsia" w:ascii="Times New Roman" w:hAnsi="Times New Roman" w:eastAsia="仿宋_GB2312"/>
          <w:sz w:val="32"/>
          <w:szCs w:val="32"/>
          <w:lang w:eastAsia="zh-CN"/>
        </w:rPr>
      </w:pPr>
      <w:r>
        <w:rPr>
          <w:rFonts w:hint="eastAsia" w:ascii="Times New Roman" w:hAnsi="Times New Roman" w:eastAsia="黑体"/>
          <w:sz w:val="32"/>
          <w:szCs w:val="32"/>
        </w:rPr>
        <w:t xml:space="preserve">    </w:t>
      </w:r>
      <w:r>
        <w:rPr>
          <w:rFonts w:hint="eastAsia" w:ascii="Times New Roman" w:hAnsi="Times New Roman" w:eastAsia="仿宋_GB2312" w:cs="Times New Roman"/>
          <w:color w:val="auto"/>
          <w:sz w:val="32"/>
          <w:szCs w:val="32"/>
          <w:lang w:eastAsia="zh-CN"/>
        </w:rPr>
        <w:t>无。</w:t>
      </w:r>
    </w:p>
    <w:p>
      <w:pPr>
        <w:pStyle w:val="10"/>
        <w:numPr>
          <w:ilvl w:val="0"/>
          <w:numId w:val="3"/>
        </w:numPr>
        <w:spacing w:line="60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0"/>
        <w:numPr>
          <w:ilvl w:val="0"/>
          <w:numId w:val="0"/>
        </w:numPr>
        <w:spacing w:line="600" w:lineRule="exact"/>
        <w:rPr>
          <w:rFonts w:ascii="Times New Roman" w:hAnsi="Times New Roman" w:eastAsia="黑体"/>
          <w:sz w:val="32"/>
          <w:szCs w:val="32"/>
        </w:rPr>
      </w:pPr>
      <w:r>
        <w:rPr>
          <w:rFonts w:hint="eastAsia" w:ascii="Times New Roman" w:hAnsi="Times New Roman" w:eastAsia="黑体"/>
          <w:sz w:val="32"/>
          <w:szCs w:val="32"/>
        </w:rPr>
        <w:t xml:space="preserve">    </w:t>
      </w:r>
      <w:r>
        <w:rPr>
          <w:rFonts w:hint="eastAsia" w:ascii="Times New Roman" w:hAnsi="Times New Roman" w:eastAsia="仿宋_GB2312" w:cs="Times New Roman"/>
          <w:color w:val="auto"/>
          <w:sz w:val="32"/>
          <w:szCs w:val="32"/>
          <w:lang w:val="en-US" w:eastAsia="zh-CN" w:bidi="ar-SA"/>
        </w:rPr>
        <w:t>无。</w:t>
      </w:r>
    </w:p>
    <w:p>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rPr>
        <w:t>资金使用及</w:t>
      </w:r>
      <w:r>
        <w:rPr>
          <w:rFonts w:eastAsia="黑体"/>
          <w:sz w:val="32"/>
          <w:szCs w:val="32"/>
        </w:rPr>
        <w:t>绩效情况</w:t>
      </w:r>
    </w:p>
    <w:p>
      <w:pPr>
        <w:spacing w:line="600" w:lineRule="exact"/>
        <w:ind w:firstLine="643" w:firstLineChars="200"/>
        <w:rPr>
          <w:rFonts w:eastAsia="楷体_GB2312"/>
          <w:b/>
          <w:sz w:val="32"/>
          <w:szCs w:val="32"/>
        </w:rPr>
      </w:pPr>
      <w:r>
        <w:rPr>
          <w:rFonts w:hint="eastAsia" w:eastAsia="楷体_GB2312"/>
          <w:b/>
          <w:sz w:val="32"/>
          <w:szCs w:val="32"/>
        </w:rPr>
        <w:t>(一）部门整体支出绩效情况</w:t>
      </w:r>
    </w:p>
    <w:p>
      <w:pPr>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eastAsia="仿宋_GB2312"/>
          <w:color w:val="000000"/>
          <w:sz w:val="32"/>
          <w:szCs w:val="32"/>
          <w:highlight w:val="none"/>
          <w:lang w:eastAsia="zh-CN"/>
        </w:rPr>
        <w:t>我局各股室根据</w:t>
      </w:r>
      <w:r>
        <w:rPr>
          <w:rFonts w:hint="eastAsia" w:eastAsia="仿宋_GB2312"/>
          <w:color w:val="000000"/>
          <w:sz w:val="32"/>
          <w:szCs w:val="32"/>
          <w:highlight w:val="none"/>
          <w:lang w:val="en-US" w:eastAsia="zh-CN"/>
        </w:rPr>
        <w:t>2021年工作计划，认真履行职责，较好地完成了年初确定的各项工作任务，</w:t>
      </w:r>
      <w:r>
        <w:rPr>
          <w:rFonts w:hint="default" w:ascii="Times New Roman" w:hAnsi="Times New Roman" w:eastAsia="仿宋_GB2312" w:cs="Times New Roman"/>
          <w:color w:val="auto"/>
          <w:sz w:val="32"/>
          <w:szCs w:val="32"/>
        </w:rPr>
        <w:t>真正发挥</w:t>
      </w:r>
      <w:r>
        <w:rPr>
          <w:rFonts w:hint="eastAsia" w:ascii="Times New Roman" w:hAnsi="Times New Roman" w:eastAsia="仿宋_GB2312" w:cs="Times New Roman"/>
          <w:color w:val="auto"/>
          <w:sz w:val="32"/>
          <w:szCs w:val="32"/>
          <w:lang w:eastAsia="zh-CN"/>
        </w:rPr>
        <w:t>了</w:t>
      </w:r>
      <w:r>
        <w:rPr>
          <w:rFonts w:hint="default" w:ascii="Times New Roman" w:hAnsi="Times New Roman" w:eastAsia="仿宋_GB2312" w:cs="Times New Roman"/>
          <w:color w:val="auto"/>
          <w:sz w:val="32"/>
          <w:szCs w:val="32"/>
        </w:rPr>
        <w:t>稳定经济的关键作用，有力推动了全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经济社会高质量发展。</w:t>
      </w:r>
      <w:r>
        <w:rPr>
          <w:rFonts w:hint="eastAsia" w:ascii="Times New Roman" w:hAnsi="Times New Roman" w:eastAsia="仿宋_GB2312" w:cs="Times New Roman"/>
          <w:color w:val="auto"/>
          <w:sz w:val="32"/>
          <w:szCs w:val="32"/>
          <w:lang w:eastAsia="zh-CN"/>
        </w:rPr>
        <w:t>全年主要绩效如下：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1.“稳”的基础不断夯实。一是强化目标导向，稳定税源抓重点。</w:t>
      </w:r>
      <w:r>
        <w:rPr>
          <w:rFonts w:hint="default" w:ascii="Times New Roman" w:hAnsi="Times New Roman" w:eastAsia="仿宋_GB2312" w:cs="Times New Roman"/>
          <w:color w:val="auto"/>
          <w:sz w:val="32"/>
          <w:szCs w:val="32"/>
          <w:lang w:eastAsia="zh-CN"/>
        </w:rPr>
        <w:t>将</w:t>
      </w:r>
      <w:r>
        <w:rPr>
          <w:rFonts w:hint="default" w:ascii="Times New Roman" w:hAnsi="Times New Roman" w:eastAsia="仿宋_GB2312" w:cs="Times New Roman"/>
          <w:color w:val="auto"/>
          <w:kern w:val="2"/>
          <w:sz w:val="32"/>
          <w:szCs w:val="32"/>
          <w:lang w:val="en-US" w:eastAsia="zh-CN" w:bidi="ar-SA"/>
        </w:rPr>
        <w:t>协税治税作为一项常态的、长远的工作，继续保持全区协税、全民护税、全域纳税的良好征管氛围。二是统筹疫情防控，稳中有序惠民生</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新型冠状病毒感染的肺炎疫情反复来袭，</w:t>
      </w:r>
      <w:r>
        <w:rPr>
          <w:rFonts w:hint="eastAsia" w:ascii="Times New Roman" w:hAnsi="Times New Roman" w:eastAsia="仿宋_GB2312" w:cs="Times New Roman"/>
          <w:color w:val="auto"/>
          <w:kern w:val="2"/>
          <w:sz w:val="32"/>
          <w:szCs w:val="32"/>
          <w:lang w:val="en-US" w:eastAsia="zh-CN" w:bidi="ar-SA"/>
        </w:rPr>
        <w:t>财政</w:t>
      </w:r>
      <w:r>
        <w:rPr>
          <w:rFonts w:hint="default" w:ascii="Times New Roman" w:hAnsi="Times New Roman" w:eastAsia="仿宋_GB2312" w:cs="Times New Roman"/>
          <w:color w:val="auto"/>
          <w:kern w:val="2"/>
          <w:sz w:val="32"/>
          <w:szCs w:val="32"/>
          <w:lang w:val="en-US" w:eastAsia="zh-CN" w:bidi="ar-SA"/>
        </w:rPr>
        <w:t>第一时间响应上级工作要求，迅速启动应急保障机制，将疫情防控资金放在当前财政支出首位，全力做好疫情防控经费保障工作。三是聚焦向上争取，稳固</w:t>
      </w:r>
      <w:r>
        <w:rPr>
          <w:rFonts w:hint="eastAsia" w:ascii="Times New Roman" w:hAnsi="Times New Roman" w:eastAsia="仿宋_GB2312" w:cs="Times New Roman"/>
          <w:color w:val="auto"/>
          <w:kern w:val="2"/>
          <w:sz w:val="32"/>
          <w:szCs w:val="32"/>
          <w:lang w:val="en-US" w:eastAsia="zh-CN" w:bidi="ar-SA"/>
        </w:rPr>
        <w:t>财</w:t>
      </w:r>
      <w:r>
        <w:rPr>
          <w:rFonts w:hint="default" w:ascii="Times New Roman" w:hAnsi="Times New Roman" w:eastAsia="仿宋_GB2312" w:cs="Times New Roman"/>
          <w:color w:val="auto"/>
          <w:kern w:val="2"/>
          <w:sz w:val="32"/>
          <w:szCs w:val="32"/>
          <w:lang w:val="en-US" w:eastAsia="zh-CN" w:bidi="ar-SA"/>
        </w:rPr>
        <w:t>源保增长。</w:t>
      </w:r>
      <w:r>
        <w:rPr>
          <w:rFonts w:hint="default" w:ascii="Times New Roman" w:hAnsi="Times New Roman" w:eastAsia="仿宋_GB2312" w:cs="Times New Roman"/>
          <w:color w:val="auto"/>
          <w:sz w:val="32"/>
          <w:szCs w:val="32"/>
          <w:lang w:eastAsia="zh-CN"/>
        </w:rPr>
        <w:t>出台了财源建设</w:t>
      </w:r>
      <w:r>
        <w:rPr>
          <w:rFonts w:hint="default" w:ascii="Times New Roman" w:hAnsi="Times New Roman" w:eastAsia="仿宋_GB2312" w:cs="Times New Roman"/>
          <w:color w:val="auto"/>
          <w:sz w:val="32"/>
          <w:szCs w:val="32"/>
          <w:lang w:val="en-US" w:eastAsia="zh-CN"/>
        </w:rPr>
        <w:t>“455”</w:t>
      </w:r>
      <w:r>
        <w:rPr>
          <w:rFonts w:hint="default" w:ascii="Times New Roman" w:hAnsi="Times New Roman" w:eastAsia="仿宋_GB2312" w:cs="Times New Roman"/>
          <w:color w:val="auto"/>
          <w:sz w:val="32"/>
          <w:szCs w:val="32"/>
          <w:lang w:eastAsia="zh-CN"/>
        </w:rPr>
        <w:t>行动方案，</w:t>
      </w:r>
      <w:r>
        <w:rPr>
          <w:rFonts w:hint="eastAsia" w:eastAsia="仿宋_GB2312" w:cs="Times New Roman"/>
          <w:color w:val="auto"/>
          <w:sz w:val="32"/>
          <w:szCs w:val="32"/>
          <w:lang w:eastAsia="zh-CN"/>
        </w:rPr>
        <w:t>加大向上争资力度，</w:t>
      </w:r>
      <w:r>
        <w:rPr>
          <w:rFonts w:hint="default" w:ascii="Times New Roman" w:hAnsi="Times New Roman" w:eastAsia="仿宋_GB2312" w:cs="Times New Roman"/>
          <w:color w:val="auto"/>
          <w:sz w:val="32"/>
          <w:szCs w:val="32"/>
          <w:lang w:eastAsia="zh-CN"/>
        </w:rPr>
        <w:t>强化目标考核，</w:t>
      </w:r>
      <w:r>
        <w:rPr>
          <w:rFonts w:hint="eastAsia"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进一步促进区域经济高质量发展，有效提高经济发展的“含金量”和“含税量”</w:t>
      </w:r>
      <w:r>
        <w:rPr>
          <w:rFonts w:hint="eastAsia" w:eastAsia="仿宋_GB2312" w:cs="Times New Roman"/>
          <w:color w:val="auto"/>
          <w:sz w:val="32"/>
          <w:szCs w:val="32"/>
          <w:lang w:val="en-US" w:eastAsia="zh-CN"/>
        </w:rPr>
        <w:t>打下坚实基础</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.“管”的机制不断健全。一是加强地方政府债务管理。制定了芦淞区防范化解债务风险“十条措施”</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形成化债合力，切实有效防范债务风险。二是保障直达资金监控出实效。积极贯彻落实上级财政部门关于直达资金相关工作要求加快资金拨付速度，确保资金流转顺畅、拨付快捷；加速资金使用进度，及时将资金拨付到最终收款人；加强资金监管力度，确保每笔资金流向明确、账目可查、直接惠企利民。三是优化政采营商大环境。成立资产资源组，开展全区资产清查，对我区国有资产进一步梳理和加强管理。推进平台公司市场化转型和供应商库专项清理工作，组织和督促本区68家预算单位建立政府采购内部控制制度，切实履行好政府采购主体责任，营造了良好的政府采购营商环境。四是夯实财政监管“全域网”。开展“一卡通”问题专项</w:t>
      </w:r>
      <w:r>
        <w:rPr>
          <w:rFonts w:hint="eastAsia" w:ascii="Times New Roman" w:hAnsi="Times New Roman" w:eastAsia="仿宋_GB2312" w:cs="Times New Roman"/>
          <w:color w:val="auto"/>
          <w:kern w:val="2"/>
          <w:sz w:val="32"/>
          <w:szCs w:val="32"/>
          <w:lang w:val="en-US" w:eastAsia="zh-CN" w:bidi="ar-SA"/>
        </w:rPr>
        <w:t>监督管理工作</w:t>
      </w:r>
      <w:r>
        <w:rPr>
          <w:rFonts w:hint="default" w:ascii="Times New Roman" w:hAnsi="Times New Roman" w:eastAsia="仿宋_GB2312" w:cs="Times New Roman"/>
          <w:color w:val="auto"/>
          <w:kern w:val="2"/>
          <w:sz w:val="32"/>
          <w:szCs w:val="32"/>
          <w:lang w:val="en-US" w:eastAsia="zh-CN" w:bidi="ar-SA"/>
        </w:rPr>
        <w:t>、会计准则制度执行情况专</w:t>
      </w:r>
      <w:r>
        <w:rPr>
          <w:rFonts w:hint="eastAsia" w:ascii="Times New Roman" w:hAnsi="Times New Roman" w:eastAsia="仿宋_GB2312" w:cs="Times New Roman"/>
          <w:color w:val="auto"/>
          <w:kern w:val="2"/>
          <w:sz w:val="32"/>
          <w:szCs w:val="32"/>
          <w:lang w:val="en-US" w:eastAsia="zh-CN" w:bidi="ar-SA"/>
        </w:rPr>
        <w:t>项</w:t>
      </w:r>
      <w:r>
        <w:rPr>
          <w:rFonts w:hint="default" w:ascii="Times New Roman" w:hAnsi="Times New Roman" w:eastAsia="仿宋_GB2312" w:cs="Times New Roman"/>
          <w:color w:val="auto"/>
          <w:kern w:val="2"/>
          <w:sz w:val="32"/>
          <w:szCs w:val="32"/>
          <w:lang w:val="en-US" w:eastAsia="zh-CN" w:bidi="ar-SA"/>
        </w:rPr>
        <w:t>财务检查和预算绩效管理业务培训等监管行动</w:t>
      </w:r>
      <w:r>
        <w:rPr>
          <w:rFonts w:hint="eastAsia" w:ascii="Times New Roman" w:hAnsi="Times New Roman" w:eastAsia="仿宋_GB2312" w:cs="Times New Roman"/>
          <w:color w:val="auto"/>
          <w:kern w:val="2"/>
          <w:sz w:val="32"/>
          <w:szCs w:val="32"/>
          <w:lang w:val="en-US" w:eastAsia="zh-CN" w:bidi="ar-SA"/>
        </w:rPr>
        <w:t>。推进预算管理一体化系统建设，将专项资金纳入项目库，实行全生命周期绩效管理机制。</w:t>
      </w:r>
      <w:r>
        <w:rPr>
          <w:rFonts w:hint="default" w:ascii="Times New Roman" w:hAnsi="Times New Roman" w:eastAsia="仿宋_GB2312" w:cs="Times New Roman"/>
          <w:color w:val="auto"/>
          <w:kern w:val="2"/>
          <w:sz w:val="32"/>
          <w:szCs w:val="32"/>
          <w:lang w:val="en-US" w:eastAsia="zh-CN" w:bidi="ar-SA"/>
        </w:rPr>
        <w:t>打造“阳光财政”</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z w:val="32"/>
          <w:szCs w:val="32"/>
          <w:lang w:val="en-US" w:eastAsia="zh-CN"/>
        </w:rPr>
        <w:t>按要求及时公开预决算，</w:t>
      </w:r>
      <w:r>
        <w:rPr>
          <w:rFonts w:hint="default" w:ascii="Times New Roman" w:hAnsi="Times New Roman" w:eastAsia="仿宋_GB2312" w:cs="Times New Roman"/>
          <w:sz w:val="32"/>
          <w:szCs w:val="32"/>
        </w:rPr>
        <w:t>确保财政资金安全、规范、</w:t>
      </w:r>
      <w:r>
        <w:rPr>
          <w:rFonts w:hint="default" w:ascii="Times New Roman" w:hAnsi="Times New Roman" w:eastAsia="仿宋_GB2312" w:cs="Times New Roman"/>
          <w:sz w:val="32"/>
          <w:szCs w:val="32"/>
          <w:lang w:eastAsia="zh-CN"/>
        </w:rPr>
        <w:t>透明、</w:t>
      </w:r>
      <w:r>
        <w:rPr>
          <w:rFonts w:hint="default" w:ascii="Times New Roman" w:hAnsi="Times New Roman" w:eastAsia="仿宋_GB2312" w:cs="Times New Roman"/>
          <w:sz w:val="32"/>
          <w:szCs w:val="32"/>
        </w:rPr>
        <w:t>高效。</w:t>
      </w:r>
    </w:p>
    <w:p>
      <w:pPr>
        <w:spacing w:line="600" w:lineRule="exact"/>
        <w:ind w:firstLine="643" w:firstLineChars="200"/>
        <w:rPr>
          <w:rFonts w:eastAsia="楷体_GB2312"/>
          <w:b/>
          <w:sz w:val="32"/>
          <w:szCs w:val="32"/>
        </w:rPr>
      </w:pPr>
      <w:r>
        <w:rPr>
          <w:rFonts w:hint="eastAsia" w:eastAsia="楷体_GB2312"/>
          <w:b/>
          <w:sz w:val="32"/>
          <w:szCs w:val="32"/>
        </w:rPr>
        <w:t>（二）专项资金支出绩效情况</w:t>
      </w:r>
    </w:p>
    <w:p>
      <w:pPr>
        <w:pStyle w:val="10"/>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1、财政补助资金项目支出15.0万元</w:t>
      </w:r>
      <w:r>
        <w:rPr>
          <w:rFonts w:hint="eastAsia" w:ascii="仿宋_GB2312" w:hAnsi="仿宋_GB2312" w:eastAsia="仿宋_GB2312" w:cs="仿宋_GB2312"/>
          <w:sz w:val="32"/>
          <w:szCs w:val="32"/>
          <w:lang w:eastAsia="zh-CN"/>
        </w:rPr>
        <w:t>：为拨付高新技术公司研发及设备购置补助款。</w:t>
      </w:r>
    </w:p>
    <w:p>
      <w:pPr>
        <w:pStyle w:val="10"/>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2、财政管理专项项目支出</w:t>
      </w:r>
      <w:r>
        <w:rPr>
          <w:rFonts w:hint="eastAsia" w:ascii="仿宋_GB2312" w:hAnsi="仿宋_GB2312" w:eastAsia="仿宋_GB2312" w:cs="仿宋_GB2312"/>
          <w:sz w:val="32"/>
          <w:szCs w:val="32"/>
          <w:highlight w:val="none"/>
        </w:rPr>
        <w:t>132.81</w:t>
      </w:r>
      <w:r>
        <w:rPr>
          <w:rFonts w:hint="eastAsia" w:ascii="仿宋_GB2312" w:hAnsi="仿宋_GB2312" w:eastAsia="仿宋_GB2312" w:cs="仿宋_GB2312"/>
          <w:sz w:val="32"/>
          <w:szCs w:val="32"/>
        </w:rPr>
        <w:t>万元</w:t>
      </w:r>
      <w:r>
        <w:rPr>
          <w:rFonts w:hint="eastAsia"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sz w:val="32"/>
          <w:szCs w:val="32"/>
          <w:lang w:val="en-US" w:eastAsia="zh-CN"/>
        </w:rPr>
        <w:t>开展绩效评价16项，涉及单位16个，聘请第三方评价机构进行预算单位整体绩效评价8个、重点评价专项资金8个，</w:t>
      </w:r>
      <w:r>
        <w:rPr>
          <w:rFonts w:hint="eastAsia" w:eastAsia="仿宋_GB2312"/>
          <w:color w:val="000000"/>
          <w:sz w:val="32"/>
          <w:szCs w:val="32"/>
        </w:rPr>
        <w:t>共开展预算绩效管理培训1次，</w:t>
      </w:r>
      <w:r>
        <w:rPr>
          <w:rFonts w:hint="eastAsia" w:eastAsia="仿宋_GB2312"/>
          <w:color w:val="000000"/>
          <w:sz w:val="32"/>
          <w:szCs w:val="32"/>
          <w:lang w:eastAsia="zh-CN"/>
        </w:rPr>
        <w:t>组织</w:t>
      </w:r>
      <w:r>
        <w:rPr>
          <w:rFonts w:hint="eastAsia" w:eastAsia="仿宋_GB2312"/>
          <w:color w:val="000000"/>
          <w:sz w:val="32"/>
          <w:szCs w:val="32"/>
        </w:rPr>
        <w:t>68家预算单位参加培训，培训内容包括：预算绩效目标的填报、绩效自评填写及事前绩效评估及绩效跟踪、绩效评价结果运用等；</w:t>
      </w:r>
      <w:r>
        <w:rPr>
          <w:rFonts w:hint="eastAsia" w:ascii="仿宋_GB2312" w:hAnsi="仿宋_GB2312" w:eastAsia="仿宋_GB2312" w:cs="仿宋_GB2312"/>
          <w:sz w:val="32"/>
          <w:szCs w:val="32"/>
        </w:rPr>
        <w:t>委托第三方进行平台公司清理整合咨询服务，</w:t>
      </w:r>
      <w:r>
        <w:rPr>
          <w:rFonts w:hint="eastAsia" w:ascii="仿宋_GB2312" w:hAnsi="仿宋_GB2312" w:eastAsia="仿宋_GB2312" w:cs="仿宋_GB2312"/>
          <w:sz w:val="32"/>
          <w:szCs w:val="32"/>
          <w:lang w:eastAsia="zh-CN"/>
        </w:rPr>
        <w:t>对相关经费进行测算，</w:t>
      </w:r>
      <w:r>
        <w:rPr>
          <w:rFonts w:hint="eastAsia" w:ascii="仿宋_GB2312" w:hAnsi="仿宋_GB2312" w:eastAsia="仿宋_GB2312" w:cs="仿宋_GB2312"/>
          <w:sz w:val="32"/>
          <w:szCs w:val="32"/>
          <w:lang w:val="en-US" w:eastAsia="zh-CN"/>
        </w:rPr>
        <w:t>绩效评价等服务费共计125.81万元；委托第三方进行内控检查，服务费7万元。</w:t>
      </w:r>
    </w:p>
    <w:p>
      <w:pPr>
        <w:pStyle w:val="10"/>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3、财政信息化建设项目支出</w:t>
      </w:r>
      <w:r>
        <w:rPr>
          <w:rFonts w:hint="eastAsia" w:ascii="仿宋_GB2312" w:hAnsi="仿宋_GB2312" w:eastAsia="仿宋_GB2312" w:cs="仿宋_GB2312"/>
          <w:sz w:val="32"/>
          <w:szCs w:val="32"/>
          <w:highlight w:val="none"/>
        </w:rPr>
        <w:t>39.87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对电子财政信息平台运营、财政各系统和设备进行更新、维护</w:t>
      </w:r>
      <w:r>
        <w:rPr>
          <w:rFonts w:hint="eastAsia" w:ascii="仿宋_GB2312" w:hAnsi="仿宋_GB2312" w:eastAsia="仿宋_GB2312" w:cs="仿宋_GB2312"/>
          <w:sz w:val="32"/>
          <w:szCs w:val="32"/>
          <w:lang w:eastAsia="zh-CN"/>
        </w:rPr>
        <w:t>费等支出</w:t>
      </w:r>
      <w:r>
        <w:rPr>
          <w:rFonts w:hint="eastAsia" w:ascii="仿宋_GB2312" w:hAnsi="仿宋_GB2312" w:eastAsia="仿宋_GB2312" w:cs="仿宋_GB2312"/>
          <w:sz w:val="32"/>
          <w:szCs w:val="32"/>
          <w:lang w:val="en-US" w:eastAsia="zh-CN"/>
        </w:rPr>
        <w:t>39.87万元</w:t>
      </w:r>
      <w:r>
        <w:rPr>
          <w:rFonts w:hint="eastAsia" w:ascii="仿宋_GB2312" w:hAnsi="仿宋_GB2312" w:eastAsia="仿宋_GB2312" w:cs="仿宋_GB2312"/>
          <w:sz w:val="32"/>
          <w:szCs w:val="32"/>
          <w:lang w:eastAsia="zh-CN"/>
        </w:rPr>
        <w:t>。</w:t>
      </w:r>
    </w:p>
    <w:p>
      <w:pPr>
        <w:pStyle w:val="10"/>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4、党建经费项目支出</w:t>
      </w:r>
      <w:r>
        <w:rPr>
          <w:rFonts w:hint="eastAsia" w:ascii="仿宋_GB2312" w:hAnsi="仿宋_GB2312" w:eastAsia="仿宋_GB2312" w:cs="仿宋_GB2312"/>
          <w:sz w:val="32"/>
          <w:szCs w:val="32"/>
          <w:highlight w:val="none"/>
        </w:rPr>
        <w:t>2.29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：党建宣传活动、党务公开栏制作等支出1.58万元，订阅党报党刊0.71万元。</w:t>
      </w:r>
    </w:p>
    <w:p>
      <w:pPr>
        <w:pStyle w:val="10"/>
        <w:spacing w:line="600" w:lineRule="exact"/>
        <w:ind w:firstLine="640"/>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sz w:val="32"/>
          <w:szCs w:val="32"/>
        </w:rPr>
        <w:t>5、防疫经费项目支出</w:t>
      </w:r>
      <w:r>
        <w:rPr>
          <w:rFonts w:hint="eastAsia" w:ascii="仿宋_GB2312" w:hAnsi="仿宋_GB2312" w:eastAsia="仿宋_GB2312" w:cs="仿宋_GB2312"/>
          <w:sz w:val="32"/>
          <w:szCs w:val="32"/>
          <w:highlight w:val="none"/>
        </w:rPr>
        <w:t>2.93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auto"/>
          <w:kern w:val="2"/>
          <w:sz w:val="32"/>
          <w:szCs w:val="32"/>
          <w:lang w:val="en-US" w:eastAsia="zh-CN" w:bidi="ar-SA"/>
        </w:rPr>
        <w:t>新型冠状病毒感染的肺炎疫情反复</w:t>
      </w:r>
      <w:r>
        <w:rPr>
          <w:rFonts w:hint="eastAsia" w:ascii="Times New Roman" w:hAnsi="Times New Roman" w:eastAsia="仿宋_GB2312" w:cs="Times New Roman"/>
          <w:color w:val="auto"/>
          <w:kern w:val="2"/>
          <w:sz w:val="32"/>
          <w:szCs w:val="32"/>
          <w:lang w:val="en-US" w:eastAsia="zh-CN" w:bidi="ar-SA"/>
        </w:rPr>
        <w:t>情况之时，</w:t>
      </w:r>
      <w:r>
        <w:rPr>
          <w:rFonts w:hint="eastAsia" w:ascii="仿宋_GB2312" w:hAnsi="宋体" w:eastAsia="仿宋_GB2312"/>
          <w:sz w:val="32"/>
          <w:szCs w:val="32"/>
          <w:highlight w:val="none"/>
          <w:lang w:eastAsia="zh-CN"/>
        </w:rPr>
        <w:t>疫情防控指挥部</w:t>
      </w:r>
      <w:r>
        <w:rPr>
          <w:rFonts w:hint="eastAsia" w:ascii="Times New Roman" w:hAnsi="Times New Roman" w:eastAsia="仿宋_GB2312" w:cs="Times New Roman"/>
          <w:color w:val="auto"/>
          <w:kern w:val="2"/>
          <w:sz w:val="32"/>
          <w:szCs w:val="32"/>
          <w:lang w:val="en-US" w:eastAsia="zh-CN" w:bidi="ar-SA"/>
        </w:rPr>
        <w:t>租赁车辆下发防疫物资发生支出</w:t>
      </w:r>
      <w:r>
        <w:rPr>
          <w:rFonts w:hint="eastAsia" w:ascii="仿宋_GB2312" w:hAnsi="仿宋_GB2312" w:eastAsia="仿宋_GB2312" w:cs="仿宋_GB2312"/>
          <w:sz w:val="32"/>
          <w:szCs w:val="32"/>
          <w:highlight w:val="none"/>
          <w:lang w:val="en-US" w:eastAsia="zh-CN"/>
        </w:rPr>
        <w:t>2.93万元</w:t>
      </w:r>
      <w:r>
        <w:rPr>
          <w:rFonts w:hint="eastAsia" w:ascii="Times New Roman" w:hAnsi="Times New Roman" w:eastAsia="仿宋_GB2312" w:cs="Times New Roman"/>
          <w:color w:val="auto"/>
          <w:kern w:val="2"/>
          <w:sz w:val="32"/>
          <w:szCs w:val="32"/>
          <w:lang w:val="en-US" w:eastAsia="zh-CN" w:bidi="ar-SA"/>
        </w:rPr>
        <w:t>。</w:t>
      </w:r>
    </w:p>
    <w:p>
      <w:pPr>
        <w:pStyle w:val="1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6、国有资产管理</w:t>
      </w:r>
      <w:r>
        <w:rPr>
          <w:rFonts w:hint="eastAsia" w:ascii="仿宋_GB2312" w:hAnsi="仿宋_GB2312" w:eastAsia="仿宋_GB2312" w:cs="仿宋_GB2312"/>
          <w:sz w:val="32"/>
          <w:szCs w:val="32"/>
          <w:highlight w:val="none"/>
        </w:rPr>
        <w:t>46.92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：国有资产维护费用</w:t>
      </w:r>
      <w:r>
        <w:rPr>
          <w:rFonts w:hint="eastAsia" w:ascii="仿宋_GB2312" w:hAnsi="仿宋_GB2312" w:eastAsia="仿宋_GB2312" w:cs="仿宋_GB2312"/>
          <w:sz w:val="32"/>
          <w:szCs w:val="32"/>
          <w:lang w:val="en-US" w:eastAsia="zh-CN"/>
        </w:rPr>
        <w:t>1.96万元，政府采购等系统维护与资产报表编报费用24.8万元，</w:t>
      </w:r>
      <w:r>
        <w:rPr>
          <w:rFonts w:hint="eastAsia" w:ascii="仿宋_GB2312" w:hAnsi="仿宋_GB2312" w:eastAsia="仿宋_GB2312" w:cs="仿宋_GB2312"/>
          <w:sz w:val="32"/>
          <w:szCs w:val="32"/>
          <w:lang w:eastAsia="zh-CN"/>
        </w:rPr>
        <w:t>委托三方机构进行国有资产清查、收益摸底服务费</w:t>
      </w:r>
      <w:r>
        <w:rPr>
          <w:rFonts w:hint="eastAsia" w:ascii="仿宋_GB2312" w:hAnsi="仿宋_GB2312" w:eastAsia="仿宋_GB2312" w:cs="仿宋_GB2312"/>
          <w:sz w:val="32"/>
          <w:szCs w:val="32"/>
          <w:lang w:val="en-US" w:eastAsia="zh-CN"/>
        </w:rPr>
        <w:t>20.16万元</w:t>
      </w:r>
      <w:r>
        <w:rPr>
          <w:rFonts w:hint="eastAsia" w:ascii="仿宋_GB2312" w:hAnsi="仿宋_GB2312" w:eastAsia="仿宋_GB2312" w:cs="仿宋_GB2312"/>
          <w:sz w:val="32"/>
          <w:szCs w:val="32"/>
        </w:rPr>
        <w:t>。</w:t>
      </w:r>
    </w:p>
    <w:p>
      <w:pPr>
        <w:pStyle w:val="10"/>
        <w:spacing w:line="600" w:lineRule="exact"/>
        <w:ind w:firstLine="640"/>
        <w:rPr>
          <w:rFonts w:ascii="Times New Roman" w:hAnsi="Times New Roman" w:eastAsia="黑体"/>
          <w:sz w:val="32"/>
          <w:szCs w:val="32"/>
          <w:highlight w:val="none"/>
        </w:rPr>
      </w:pPr>
      <w:r>
        <w:rPr>
          <w:rFonts w:ascii="Times New Roman" w:hAnsi="Times New Roman" w:eastAsia="黑体"/>
          <w:sz w:val="32"/>
          <w:szCs w:val="32"/>
          <w:highlight w:val="none"/>
        </w:rPr>
        <w:t>七、存在的问题及原因分析</w:t>
      </w:r>
    </w:p>
    <w:p>
      <w:pPr>
        <w:spacing w:line="600" w:lineRule="exact"/>
        <w:ind w:firstLine="640" w:firstLineChars="200"/>
        <w:rPr>
          <w:rFonts w:hint="default" w:ascii="Times New Roman" w:hAnsi="Times New Roman" w:cs="Times New Roman"/>
          <w:lang w:val="en-US" w:eastAsia="zh-CN"/>
        </w:rPr>
      </w:pPr>
      <w:r>
        <w:rPr>
          <w:rFonts w:hint="eastAsia" w:eastAsia="仿宋_GB2312" w:cs="Times New Roman"/>
          <w:sz w:val="32"/>
          <w:szCs w:val="32"/>
          <w:highlight w:val="none"/>
          <w:lang w:eastAsia="zh-CN"/>
        </w:rPr>
        <w:t>各相关股室对预算绩效管理工作的重要性认识有待进一步提高；</w:t>
      </w:r>
      <w:r>
        <w:rPr>
          <w:rFonts w:hint="eastAsia" w:eastAsia="仿宋_GB2312"/>
          <w:sz w:val="32"/>
          <w:szCs w:val="32"/>
        </w:rPr>
        <w:t>部分项目的预算编制不够科学、合理，不能准确反映项目的绩效状况。</w:t>
      </w:r>
    </w:p>
    <w:p>
      <w:pPr>
        <w:numPr>
          <w:ilvl w:val="0"/>
          <w:numId w:val="4"/>
        </w:numPr>
        <w:spacing w:line="600" w:lineRule="exact"/>
        <w:ind w:firstLine="640" w:firstLineChars="200"/>
        <w:rPr>
          <w:rFonts w:eastAsia="黑体"/>
          <w:sz w:val="32"/>
          <w:szCs w:val="32"/>
        </w:rPr>
      </w:pPr>
      <w:r>
        <w:rPr>
          <w:rFonts w:eastAsia="黑体"/>
          <w:sz w:val="32"/>
          <w:szCs w:val="32"/>
        </w:rPr>
        <w:t>下一步改进措施</w:t>
      </w:r>
    </w:p>
    <w:p>
      <w:pPr>
        <w:pStyle w:val="2"/>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进一步加强预算资金管理的培训和宣传绩效，提升各股室的预算绩效管理意识，树立“花钱必问效，无效必问责”的绩效理念；对预算资金使用进行全过程控制，提高预算资金使用效率，精细测算支出额度，把需求核准核实，充分发挥财政资金的效益。</w:t>
      </w:r>
    </w:p>
    <w:p>
      <w:pPr>
        <w:spacing w:line="600" w:lineRule="exact"/>
        <w:ind w:firstLine="640" w:firstLineChars="200"/>
        <w:rPr>
          <w:rFonts w:eastAsia="黑体"/>
          <w:sz w:val="32"/>
          <w:szCs w:val="32"/>
        </w:rPr>
      </w:pPr>
      <w:r>
        <w:rPr>
          <w:rFonts w:eastAsia="黑体"/>
          <w:sz w:val="32"/>
          <w:szCs w:val="32"/>
        </w:rPr>
        <w:t>九、绩效自评结果拟应用和公开情况</w:t>
      </w:r>
    </w:p>
    <w:p>
      <w:pPr>
        <w:pStyle w:val="14"/>
        <w:spacing w:line="560" w:lineRule="exact"/>
        <w:ind w:firstLine="620" w:firstLineChars="200"/>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通过绩效自评，实时掌握了资金使用情况和效益，主动发现资金管理过程中存在的问题和不足，以期加强资金使用及管理、提高资金使用效益工作提供了重要的参考依据。</w:t>
      </w:r>
    </w:p>
    <w:p>
      <w:pPr>
        <w:pStyle w:val="14"/>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本单位没有独立网站，</w:t>
      </w:r>
      <w:r>
        <w:rPr>
          <w:rFonts w:hint="eastAsia" w:ascii="仿宋_GB2312" w:hAnsi="宋体" w:eastAsia="仿宋_GB2312" w:cs="仿宋_GB2312"/>
          <w:color w:val="000000"/>
          <w:kern w:val="0"/>
          <w:sz w:val="31"/>
          <w:szCs w:val="31"/>
          <w:lang w:val="en-US" w:eastAsia="zh-CN" w:bidi="ar"/>
        </w:rPr>
        <w:t>此次绩效自评将与2021年部门决算一起</w:t>
      </w:r>
      <w:r>
        <w:rPr>
          <w:rFonts w:hint="eastAsia" w:ascii="仿宋_GB2312" w:hAnsi="宋体" w:eastAsia="仿宋_GB2312"/>
          <w:sz w:val="32"/>
          <w:szCs w:val="32"/>
        </w:rPr>
        <w:t>在芦淞区政府信息公开专栏中</w:t>
      </w:r>
      <w:r>
        <w:rPr>
          <w:rFonts w:hint="eastAsia" w:ascii="仿宋_GB2312" w:hAnsi="宋体" w:eastAsia="仿宋_GB2312"/>
          <w:sz w:val="32"/>
          <w:szCs w:val="32"/>
          <w:lang w:eastAsia="zh-CN"/>
        </w:rPr>
        <w:t>公示公开。</w:t>
      </w:r>
    </w:p>
    <w:p>
      <w:pPr>
        <w:spacing w:line="60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pPr>
        <w:spacing w:line="600" w:lineRule="exact"/>
        <w:ind w:firstLine="640" w:firstLineChars="200"/>
        <w:rPr>
          <w:rFonts w:eastAsia="仿宋_GB2312"/>
          <w:sz w:val="32"/>
          <w:szCs w:val="32"/>
        </w:rPr>
      </w:pPr>
      <w:r>
        <w:rPr>
          <w:rFonts w:hint="eastAsia" w:eastAsia="仿宋_GB2312"/>
          <w:sz w:val="32"/>
          <w:szCs w:val="32"/>
        </w:rPr>
        <w:t xml:space="preserve">  无</w:t>
      </w:r>
    </w:p>
    <w:p>
      <w:pPr>
        <w:spacing w:line="600" w:lineRule="exact"/>
        <w:rPr>
          <w:rFonts w:eastAsia="仿宋_GB2312"/>
          <w:kern w:val="0"/>
          <w:sz w:val="32"/>
          <w:szCs w:val="32"/>
        </w:rPr>
      </w:pP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7B284"/>
    <w:multiLevelType w:val="singleLevel"/>
    <w:tmpl w:val="CDE7B284"/>
    <w:lvl w:ilvl="0" w:tentative="0">
      <w:start w:val="8"/>
      <w:numFmt w:val="chineseCounting"/>
      <w:suff w:val="nothing"/>
      <w:lvlText w:val="%1、"/>
      <w:lvlJc w:val="left"/>
      <w:rPr>
        <w:rFonts w:hint="eastAsia"/>
      </w:rPr>
    </w:lvl>
  </w:abstractNum>
  <w:abstractNum w:abstractNumId="1">
    <w:nsid w:val="EEFA4163"/>
    <w:multiLevelType w:val="singleLevel"/>
    <w:tmpl w:val="EEFA4163"/>
    <w:lvl w:ilvl="0" w:tentative="0">
      <w:start w:val="2"/>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abstractNum w:abstractNumId="3">
    <w:nsid w:val="78B7FFC0"/>
    <w:multiLevelType w:val="singleLevel"/>
    <w:tmpl w:val="78B7FFC0"/>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wZGVjMjRiMjI1ODA0ZDFlNjdlNTY2ZjczZjQ4ZDMifQ=="/>
  </w:docVars>
  <w:rsids>
    <w:rsidRoot w:val="00E10BFB"/>
    <w:rsid w:val="00004E70"/>
    <w:rsid w:val="00207FA3"/>
    <w:rsid w:val="00332B93"/>
    <w:rsid w:val="0047459D"/>
    <w:rsid w:val="005A433C"/>
    <w:rsid w:val="00867B7D"/>
    <w:rsid w:val="008C62A7"/>
    <w:rsid w:val="00A56C8A"/>
    <w:rsid w:val="00D5092F"/>
    <w:rsid w:val="00E10BFB"/>
    <w:rsid w:val="00E55161"/>
    <w:rsid w:val="015876FF"/>
    <w:rsid w:val="016976BE"/>
    <w:rsid w:val="01A6665B"/>
    <w:rsid w:val="01BB7272"/>
    <w:rsid w:val="01EF5276"/>
    <w:rsid w:val="02665DCF"/>
    <w:rsid w:val="02A86D87"/>
    <w:rsid w:val="02AE4CCA"/>
    <w:rsid w:val="02D92DDA"/>
    <w:rsid w:val="03287320"/>
    <w:rsid w:val="03AE3AC0"/>
    <w:rsid w:val="03FA6217"/>
    <w:rsid w:val="046063A3"/>
    <w:rsid w:val="048E4A8E"/>
    <w:rsid w:val="04A8621F"/>
    <w:rsid w:val="052D1124"/>
    <w:rsid w:val="05777752"/>
    <w:rsid w:val="05841760"/>
    <w:rsid w:val="058C239E"/>
    <w:rsid w:val="06334EF1"/>
    <w:rsid w:val="06377F01"/>
    <w:rsid w:val="071E5F82"/>
    <w:rsid w:val="072B45AB"/>
    <w:rsid w:val="07BB6AF4"/>
    <w:rsid w:val="07D36116"/>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1F2BCB"/>
    <w:rsid w:val="0D366EDE"/>
    <w:rsid w:val="0D4B57FA"/>
    <w:rsid w:val="0D60161F"/>
    <w:rsid w:val="0DFD2365"/>
    <w:rsid w:val="0E897C2B"/>
    <w:rsid w:val="0ED94D9B"/>
    <w:rsid w:val="0F957EE7"/>
    <w:rsid w:val="0F9A0948"/>
    <w:rsid w:val="0FA108F2"/>
    <w:rsid w:val="0FB873C3"/>
    <w:rsid w:val="0FDF1AFD"/>
    <w:rsid w:val="10593E88"/>
    <w:rsid w:val="10C17504"/>
    <w:rsid w:val="10F06DED"/>
    <w:rsid w:val="110F6568"/>
    <w:rsid w:val="11107299"/>
    <w:rsid w:val="1134034B"/>
    <w:rsid w:val="115176A2"/>
    <w:rsid w:val="12347F9D"/>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6B7565"/>
    <w:rsid w:val="188345AC"/>
    <w:rsid w:val="18A0298F"/>
    <w:rsid w:val="195B5909"/>
    <w:rsid w:val="195E168F"/>
    <w:rsid w:val="196A7CDF"/>
    <w:rsid w:val="19C72BF8"/>
    <w:rsid w:val="19CA553D"/>
    <w:rsid w:val="1A4E2E8E"/>
    <w:rsid w:val="1A881CDB"/>
    <w:rsid w:val="1AF51455"/>
    <w:rsid w:val="1B9D302A"/>
    <w:rsid w:val="1BF446CE"/>
    <w:rsid w:val="1C2862A1"/>
    <w:rsid w:val="1C704031"/>
    <w:rsid w:val="1D271A66"/>
    <w:rsid w:val="1DCB47DF"/>
    <w:rsid w:val="1E402FBB"/>
    <w:rsid w:val="1E601115"/>
    <w:rsid w:val="1EB03217"/>
    <w:rsid w:val="1F000FB0"/>
    <w:rsid w:val="1F111AD7"/>
    <w:rsid w:val="1F2F2C5C"/>
    <w:rsid w:val="1F5A1E7F"/>
    <w:rsid w:val="1FA707DF"/>
    <w:rsid w:val="1FFE7B8C"/>
    <w:rsid w:val="203C025A"/>
    <w:rsid w:val="20775CA3"/>
    <w:rsid w:val="217A1AB1"/>
    <w:rsid w:val="22695B47"/>
    <w:rsid w:val="22E2280C"/>
    <w:rsid w:val="243235AA"/>
    <w:rsid w:val="24B10BAC"/>
    <w:rsid w:val="24D2061D"/>
    <w:rsid w:val="251132F3"/>
    <w:rsid w:val="253C38DE"/>
    <w:rsid w:val="25B24E22"/>
    <w:rsid w:val="262B4FF6"/>
    <w:rsid w:val="264810A7"/>
    <w:rsid w:val="265A7CC8"/>
    <w:rsid w:val="27014400"/>
    <w:rsid w:val="270C4844"/>
    <w:rsid w:val="271B2298"/>
    <w:rsid w:val="274452E4"/>
    <w:rsid w:val="274E3250"/>
    <w:rsid w:val="276D0D8C"/>
    <w:rsid w:val="286C33CA"/>
    <w:rsid w:val="28E4125D"/>
    <w:rsid w:val="29BB6A7E"/>
    <w:rsid w:val="29EC49AF"/>
    <w:rsid w:val="2AAA1BA4"/>
    <w:rsid w:val="2AC43DDE"/>
    <w:rsid w:val="2AEF4956"/>
    <w:rsid w:val="2B1C41DD"/>
    <w:rsid w:val="2BBE35CD"/>
    <w:rsid w:val="2BD6382B"/>
    <w:rsid w:val="2C7A0558"/>
    <w:rsid w:val="2C933EBB"/>
    <w:rsid w:val="2CDF6E04"/>
    <w:rsid w:val="2D284D02"/>
    <w:rsid w:val="2D3A266F"/>
    <w:rsid w:val="2D8470B0"/>
    <w:rsid w:val="2D85399E"/>
    <w:rsid w:val="2DC65E1F"/>
    <w:rsid w:val="2DE62328"/>
    <w:rsid w:val="2DF720F5"/>
    <w:rsid w:val="2E1C0F3D"/>
    <w:rsid w:val="2E69253C"/>
    <w:rsid w:val="2EEF2198"/>
    <w:rsid w:val="2F0246FC"/>
    <w:rsid w:val="2F080155"/>
    <w:rsid w:val="30343502"/>
    <w:rsid w:val="30470CFF"/>
    <w:rsid w:val="306918BE"/>
    <w:rsid w:val="30A37680"/>
    <w:rsid w:val="31AB6974"/>
    <w:rsid w:val="31AF70F0"/>
    <w:rsid w:val="32D24F00"/>
    <w:rsid w:val="32D963A9"/>
    <w:rsid w:val="32ED21B4"/>
    <w:rsid w:val="331926DE"/>
    <w:rsid w:val="34E83B73"/>
    <w:rsid w:val="35124AFB"/>
    <w:rsid w:val="35164EC9"/>
    <w:rsid w:val="35EE1AE6"/>
    <w:rsid w:val="36216ACD"/>
    <w:rsid w:val="36A05906"/>
    <w:rsid w:val="36AD5505"/>
    <w:rsid w:val="36DA0F95"/>
    <w:rsid w:val="36DB24F1"/>
    <w:rsid w:val="37846097"/>
    <w:rsid w:val="378C6825"/>
    <w:rsid w:val="37904E67"/>
    <w:rsid w:val="3797204C"/>
    <w:rsid w:val="37A771FF"/>
    <w:rsid w:val="37B37AED"/>
    <w:rsid w:val="37EF7DFA"/>
    <w:rsid w:val="380A1D4B"/>
    <w:rsid w:val="381108B8"/>
    <w:rsid w:val="38550743"/>
    <w:rsid w:val="38A54053"/>
    <w:rsid w:val="38D37D37"/>
    <w:rsid w:val="39312765"/>
    <w:rsid w:val="393A2055"/>
    <w:rsid w:val="399C1F0E"/>
    <w:rsid w:val="3A003CFF"/>
    <w:rsid w:val="3A1339C4"/>
    <w:rsid w:val="3AF63590"/>
    <w:rsid w:val="3B06110B"/>
    <w:rsid w:val="3B9B7004"/>
    <w:rsid w:val="3BCF551C"/>
    <w:rsid w:val="3C212E36"/>
    <w:rsid w:val="3C87456A"/>
    <w:rsid w:val="3CA231F4"/>
    <w:rsid w:val="3CC50F8A"/>
    <w:rsid w:val="3CDC3CFC"/>
    <w:rsid w:val="3CFC20B7"/>
    <w:rsid w:val="3E694CE7"/>
    <w:rsid w:val="3E763B1C"/>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4521D9"/>
    <w:rsid w:val="47D51345"/>
    <w:rsid w:val="47E11557"/>
    <w:rsid w:val="48196B29"/>
    <w:rsid w:val="4885603F"/>
    <w:rsid w:val="491722FF"/>
    <w:rsid w:val="491D74A7"/>
    <w:rsid w:val="496D3435"/>
    <w:rsid w:val="497C7C2F"/>
    <w:rsid w:val="498307B4"/>
    <w:rsid w:val="49882B9B"/>
    <w:rsid w:val="49AF4809"/>
    <w:rsid w:val="49B324BE"/>
    <w:rsid w:val="4A262A1A"/>
    <w:rsid w:val="4A3763F6"/>
    <w:rsid w:val="4A5007FC"/>
    <w:rsid w:val="4A885383"/>
    <w:rsid w:val="4AE85958"/>
    <w:rsid w:val="4AF51ADF"/>
    <w:rsid w:val="4AFD5436"/>
    <w:rsid w:val="4B10456F"/>
    <w:rsid w:val="4B555481"/>
    <w:rsid w:val="4B7C2BF9"/>
    <w:rsid w:val="4B920728"/>
    <w:rsid w:val="4B9357A5"/>
    <w:rsid w:val="4BC67BFF"/>
    <w:rsid w:val="4C19263D"/>
    <w:rsid w:val="4C253F32"/>
    <w:rsid w:val="4C442E20"/>
    <w:rsid w:val="4C714499"/>
    <w:rsid w:val="4C7B5F5C"/>
    <w:rsid w:val="4C845F8F"/>
    <w:rsid w:val="4D0B1B6F"/>
    <w:rsid w:val="4D36566E"/>
    <w:rsid w:val="4DBB24B5"/>
    <w:rsid w:val="4E03467F"/>
    <w:rsid w:val="4EE91176"/>
    <w:rsid w:val="4EF96755"/>
    <w:rsid w:val="4EFF6E71"/>
    <w:rsid w:val="4F3156F2"/>
    <w:rsid w:val="4F7317CB"/>
    <w:rsid w:val="4F7C135A"/>
    <w:rsid w:val="4FC01EDA"/>
    <w:rsid w:val="4FC40DC5"/>
    <w:rsid w:val="50281CF3"/>
    <w:rsid w:val="509154B6"/>
    <w:rsid w:val="50BB4683"/>
    <w:rsid w:val="50EC10F9"/>
    <w:rsid w:val="5177797E"/>
    <w:rsid w:val="52F6075F"/>
    <w:rsid w:val="53086FF5"/>
    <w:rsid w:val="530E1480"/>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4F07EE"/>
    <w:rsid w:val="58CE683B"/>
    <w:rsid w:val="593C4CF1"/>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1A0D14"/>
    <w:rsid w:val="5F2B6724"/>
    <w:rsid w:val="603F4E62"/>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A93030"/>
    <w:rsid w:val="65EB60C2"/>
    <w:rsid w:val="66022946"/>
    <w:rsid w:val="66A877C4"/>
    <w:rsid w:val="67303E4C"/>
    <w:rsid w:val="67347CE6"/>
    <w:rsid w:val="675A5E15"/>
    <w:rsid w:val="677549A9"/>
    <w:rsid w:val="67F2708D"/>
    <w:rsid w:val="68030691"/>
    <w:rsid w:val="68704C49"/>
    <w:rsid w:val="689E76A5"/>
    <w:rsid w:val="68DB1AF2"/>
    <w:rsid w:val="68E0427F"/>
    <w:rsid w:val="68F75735"/>
    <w:rsid w:val="694757F4"/>
    <w:rsid w:val="6A2B539C"/>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2876F1B"/>
    <w:rsid w:val="734F28D5"/>
    <w:rsid w:val="734F3820"/>
    <w:rsid w:val="73D86220"/>
    <w:rsid w:val="73F11B0B"/>
    <w:rsid w:val="73F93641"/>
    <w:rsid w:val="7455119F"/>
    <w:rsid w:val="749B7B08"/>
    <w:rsid w:val="74B015AB"/>
    <w:rsid w:val="74BF00CF"/>
    <w:rsid w:val="74CF5344"/>
    <w:rsid w:val="75092336"/>
    <w:rsid w:val="75250E55"/>
    <w:rsid w:val="75786376"/>
    <w:rsid w:val="75F34010"/>
    <w:rsid w:val="765D45B4"/>
    <w:rsid w:val="76735213"/>
    <w:rsid w:val="772B072A"/>
    <w:rsid w:val="778F1D5A"/>
    <w:rsid w:val="7836349E"/>
    <w:rsid w:val="78475FF2"/>
    <w:rsid w:val="78A55F95"/>
    <w:rsid w:val="794F5B82"/>
    <w:rsid w:val="79E234DF"/>
    <w:rsid w:val="7A0966D2"/>
    <w:rsid w:val="7A0F2FD7"/>
    <w:rsid w:val="7A1B3CD1"/>
    <w:rsid w:val="7A5B19C4"/>
    <w:rsid w:val="7A702BF0"/>
    <w:rsid w:val="7B091C7D"/>
    <w:rsid w:val="7B640151"/>
    <w:rsid w:val="7B651DA7"/>
    <w:rsid w:val="7B877F0B"/>
    <w:rsid w:val="7C1522E0"/>
    <w:rsid w:val="7C511C26"/>
    <w:rsid w:val="7CA00AC6"/>
    <w:rsid w:val="7CEF5D73"/>
    <w:rsid w:val="7D00680F"/>
    <w:rsid w:val="7DED6266"/>
    <w:rsid w:val="7E1953C1"/>
    <w:rsid w:val="7E226C0D"/>
    <w:rsid w:val="7E294730"/>
    <w:rsid w:val="7E3B45BE"/>
    <w:rsid w:val="7EC4324E"/>
    <w:rsid w:val="7EEE039A"/>
    <w:rsid w:val="7EF36598"/>
    <w:rsid w:val="7F811079"/>
    <w:rsid w:val="7F953939"/>
    <w:rsid w:val="7FD064E0"/>
    <w:rsid w:val="7FD32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字"/>
    <w:next w:val="1"/>
    <w:qFormat/>
    <w:uiPriority w:val="0"/>
    <w:pPr>
      <w:widowControl w:val="0"/>
      <w:spacing w:after="120"/>
      <w:jc w:val="both"/>
    </w:pPr>
    <w:rPr>
      <w:rFonts w:ascii="Calibri" w:hAnsi="Calibri" w:eastAsia="宋体" w:cs="Arial"/>
      <w:kern w:val="2"/>
      <w:sz w:val="21"/>
      <w:szCs w:val="24"/>
      <w:lang w:val="en-US" w:eastAsia="zh-CN" w:bidi="ar-SA"/>
    </w:rPr>
  </w:style>
  <w:style w:type="paragraph" w:styleId="3">
    <w:name w:val="Body Text Indent"/>
    <w:basedOn w:val="1"/>
    <w:qFormat/>
    <w:uiPriority w:val="99"/>
    <w:pPr>
      <w:tabs>
        <w:tab w:val="left" w:pos="630"/>
      </w:tabs>
      <w:ind w:firstLine="630"/>
      <w:textAlignment w:val="baseline"/>
    </w:pPr>
    <w:rPr>
      <w:sz w:val="20"/>
      <w:szCs w:val="21"/>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99"/>
    <w:pPr>
      <w:spacing w:before="240" w:after="60"/>
      <w:jc w:val="center"/>
      <w:outlineLvl w:val="0"/>
    </w:pPr>
    <w:rPr>
      <w:rFonts w:ascii="Cambria" w:hAnsi="Cambria" w:cs="Cambria"/>
      <w:b/>
      <w:bCs/>
      <w:sz w:val="32"/>
      <w:szCs w:val="32"/>
    </w:rPr>
  </w:style>
  <w:style w:type="paragraph" w:styleId="7">
    <w:name w:val="Body Text First Indent 2"/>
    <w:basedOn w:val="3"/>
    <w:next w:val="6"/>
    <w:qFormat/>
    <w:uiPriority w:val="99"/>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 w:type="character" w:customStyle="1" w:styleId="13">
    <w:name w:val="NormalCharacter"/>
    <w:qFormat/>
    <w:uiPriority w:val="0"/>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2530</Words>
  <Characters>2673</Characters>
  <Lines>1</Lines>
  <Paragraphs>3</Paragraphs>
  <TotalTime>2</TotalTime>
  <ScaleCrop>false</ScaleCrop>
  <LinksUpToDate>false</LinksUpToDate>
  <CharactersWithSpaces>2692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2022-12-07T03:00:22Z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