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2021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中国共产党株洲市芦淞区委政法委员会整体</w:t>
      </w:r>
      <w:r>
        <w:rPr>
          <w:rFonts w:eastAsia="方正小标宋_GBK"/>
          <w:sz w:val="48"/>
          <w:szCs w:val="48"/>
        </w:rPr>
        <w:t>支出绩效自评报告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jc w:val="both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单位</w:t>
      </w:r>
      <w:bookmarkStart w:id="0" w:name="_GoBack"/>
      <w:bookmarkEnd w:id="0"/>
      <w:r>
        <w:rPr>
          <w:rFonts w:eastAsia="楷体_GB2312"/>
          <w:b/>
          <w:sz w:val="32"/>
          <w:szCs w:val="32"/>
        </w:rPr>
        <w:t>基本情况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区</w:t>
      </w:r>
      <w:r>
        <w:rPr>
          <w:rFonts w:eastAsia="仿宋_GB2312"/>
          <w:color w:val="000000"/>
          <w:sz w:val="32"/>
          <w:szCs w:val="32"/>
        </w:rPr>
        <w:t>委政法委设下列内设机构: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办公室、</w:t>
      </w:r>
      <w:r>
        <w:rPr>
          <w:rFonts w:eastAsia="仿宋_GB2312"/>
          <w:color w:val="000000"/>
          <w:sz w:val="32"/>
          <w:szCs w:val="32"/>
        </w:rPr>
        <w:t>政治部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维稳指导室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综治督导室（专项行动办公室）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执法监督室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区</w:t>
      </w:r>
      <w:r>
        <w:rPr>
          <w:rFonts w:eastAsia="仿宋_GB2312"/>
          <w:color w:val="000000"/>
          <w:sz w:val="32"/>
          <w:szCs w:val="32"/>
        </w:rPr>
        <w:t>委政法委行政编制</w:t>
      </w:r>
      <w:r>
        <w:rPr>
          <w:rFonts w:hint="eastAsia" w:eastAsia="仿宋_GB2312"/>
          <w:color w:val="000000"/>
          <w:sz w:val="32"/>
          <w:szCs w:val="32"/>
        </w:rPr>
        <w:t>10</w:t>
      </w:r>
      <w:r>
        <w:rPr>
          <w:rFonts w:eastAsia="仿宋_GB2312"/>
          <w:color w:val="000000"/>
          <w:sz w:val="32"/>
          <w:szCs w:val="32"/>
        </w:rPr>
        <w:t>名。设书记1名，由区委常委兼任，副书记</w:t>
      </w: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名，政治部主任</w:t>
      </w:r>
      <w:r>
        <w:rPr>
          <w:rFonts w:hint="eastAsia" w:eastAsia="仿宋_GB2312"/>
          <w:color w:val="000000"/>
          <w:sz w:val="32"/>
          <w:szCs w:val="32"/>
        </w:rPr>
        <w:t>1名。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区</w:t>
      </w:r>
      <w:r>
        <w:rPr>
          <w:rFonts w:eastAsia="仿宋_GB2312"/>
          <w:color w:val="000000"/>
          <w:sz w:val="32"/>
          <w:szCs w:val="32"/>
        </w:rPr>
        <w:t>委政法委的主要职责是：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</w:t>
      </w:r>
      <w:r>
        <w:rPr>
          <w:rFonts w:eastAsia="仿宋_GB2312"/>
          <w:color w:val="000000"/>
          <w:sz w:val="32"/>
          <w:szCs w:val="32"/>
        </w:rPr>
        <w:t>深入贯彻习近平新时代中国特色社会主义思想，深入贯彻党的路线方针政策和决策部署，统一政法各部门思想和行动，坚持党对政法工作的绝对领导，坚决维护党中央权威和集中统一领导。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</w:t>
      </w:r>
      <w:r>
        <w:rPr>
          <w:rFonts w:eastAsia="仿宋_GB2312"/>
          <w:color w:val="000000"/>
          <w:sz w:val="32"/>
          <w:szCs w:val="32"/>
        </w:rPr>
        <w:t>深入贯彻党中央决定和省委、市委、区委决策，对全区政法工作研究提出全局性部署，推进平安芦淞、法治芦淞建设，加强过硬队伍建设，深化智能化建设，坚决维护国家政治安全、确保社会大局稳定、促进社会公平正义、保障人民安居乐业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</w:t>
      </w:r>
      <w:r>
        <w:rPr>
          <w:rFonts w:eastAsia="仿宋_GB2312"/>
          <w:color w:val="000000"/>
          <w:sz w:val="32"/>
          <w:szCs w:val="32"/>
        </w:rPr>
        <w:t>了解掌握和分析研判政法工作情况动态，分析社会稳定形势，创新完善多部门参与的综治维稳工作机制，协调推动预防、化解影响稳定的社会矛盾和风险，协调应对和处置重大突发事件，牵头开展涉疆服务管理工作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4、</w:t>
      </w:r>
      <w:r>
        <w:rPr>
          <w:rFonts w:eastAsia="仿宋_GB2312"/>
          <w:color w:val="000000"/>
          <w:sz w:val="32"/>
          <w:szCs w:val="32"/>
        </w:rPr>
        <w:t>加强对政法工作的督查，统筹协调社会治安综合治理、维护社会稳定、反邪教有关法律法规政策的实施工作。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5、</w:t>
      </w:r>
      <w:r>
        <w:rPr>
          <w:rFonts w:eastAsia="仿宋_GB2312"/>
          <w:color w:val="000000"/>
          <w:sz w:val="32"/>
          <w:szCs w:val="32"/>
        </w:rPr>
        <w:t>组织开展政法领域的调查研究，研究拟订政法工作的重要措施，及时向区委提出建议。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6、</w:t>
      </w:r>
      <w:r>
        <w:rPr>
          <w:rFonts w:eastAsia="仿宋_GB2312"/>
          <w:color w:val="000000"/>
          <w:sz w:val="32"/>
          <w:szCs w:val="32"/>
        </w:rPr>
        <w:t>掌握分析政法舆情动态，指导协调政法部门媒体网络宣传工作，指导政法部门做好涉及政法工作的重大宣传工作。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7、</w:t>
      </w:r>
      <w:r>
        <w:rPr>
          <w:rFonts w:eastAsia="仿宋_GB2312"/>
          <w:color w:val="000000"/>
          <w:sz w:val="32"/>
          <w:szCs w:val="32"/>
        </w:rPr>
        <w:t>监督和支持政法各部门依法行使职权，指导和协调政法各部门密切配合，研究和协调重大、疑难案件，推进严格执法、公正司法。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8、</w:t>
      </w:r>
      <w:r>
        <w:rPr>
          <w:rFonts w:eastAsia="仿宋_GB2312"/>
          <w:color w:val="000000"/>
          <w:sz w:val="32"/>
          <w:szCs w:val="32"/>
        </w:rPr>
        <w:t>组织研究政法改革中带有方向性、倾向性和普遍性的重大问题，深化政法改革。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9、</w:t>
      </w:r>
      <w:r>
        <w:rPr>
          <w:rFonts w:eastAsia="仿宋_GB2312"/>
          <w:color w:val="000000"/>
          <w:sz w:val="32"/>
          <w:szCs w:val="32"/>
        </w:rPr>
        <w:t>指导推动政法系统党的建设和政法队伍建设。</w:t>
      </w:r>
    </w:p>
    <w:p>
      <w:pPr>
        <w:spacing w:line="60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10、</w:t>
      </w:r>
      <w:r>
        <w:rPr>
          <w:rFonts w:eastAsia="仿宋_GB2312"/>
          <w:color w:val="000000"/>
          <w:sz w:val="32"/>
          <w:szCs w:val="32"/>
        </w:rPr>
        <w:t>完成区委交办的其他任务。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</w:rPr>
        <w:t>区委政法委</w:t>
      </w:r>
      <w:r>
        <w:rPr>
          <w:rFonts w:eastAsia="楷体_GB2312"/>
          <w:b/>
          <w:sz w:val="32"/>
          <w:szCs w:val="32"/>
        </w:rPr>
        <w:t>年度整体支出绩效目标，</w:t>
      </w:r>
      <w:r>
        <w:rPr>
          <w:rFonts w:hint="eastAsia" w:eastAsia="楷体_GB2312"/>
          <w:b/>
          <w:sz w:val="32"/>
          <w:szCs w:val="32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spacing w:line="600" w:lineRule="exact"/>
        <w:ind w:firstLine="643" w:firstLineChars="200"/>
        <w:rPr>
          <w:rFonts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年度整体支出绩效目标</w:t>
      </w:r>
    </w:p>
    <w:p>
      <w:pPr>
        <w:spacing w:line="600" w:lineRule="exact"/>
        <w:ind w:firstLine="640" w:firstLineChars="200"/>
        <w:rPr>
          <w:rFonts w:hint="eastAsia" w:eastAsia="仿宋_GB2312"/>
          <w:b/>
          <w:color w:val="FF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完成</w:t>
      </w:r>
      <w:r>
        <w:rPr>
          <w:rFonts w:hint="eastAsia" w:eastAsia="仿宋_GB2312"/>
          <w:color w:val="000000"/>
          <w:sz w:val="32"/>
          <w:szCs w:val="32"/>
        </w:rPr>
        <w:t>重要时期的维稳安保任务，实现了“五个不发生”的工作目标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21"/>
          <w:sz w:val="32"/>
          <w:szCs w:val="32"/>
        </w:rPr>
        <w:t>保持</w:t>
      </w:r>
      <w:r>
        <w:rPr>
          <w:rFonts w:eastAsia="仿宋_GB2312"/>
          <w:color w:val="000000"/>
          <w:kern w:val="21"/>
          <w:sz w:val="32"/>
          <w:szCs w:val="32"/>
        </w:rPr>
        <w:t>“</w:t>
      </w:r>
      <w:r>
        <w:rPr>
          <w:rFonts w:hint="eastAsia" w:eastAsia="仿宋_GB2312"/>
          <w:color w:val="000000"/>
          <w:kern w:val="21"/>
          <w:sz w:val="32"/>
          <w:szCs w:val="32"/>
        </w:rPr>
        <w:t>省平安县市区</w:t>
      </w:r>
      <w:r>
        <w:rPr>
          <w:rFonts w:eastAsia="仿宋_GB2312"/>
          <w:color w:val="000000"/>
          <w:kern w:val="21"/>
          <w:sz w:val="32"/>
          <w:szCs w:val="32"/>
        </w:rPr>
        <w:t>”</w:t>
      </w:r>
      <w:r>
        <w:rPr>
          <w:rFonts w:hint="eastAsia" w:eastAsia="仿宋_GB2312"/>
          <w:color w:val="000000"/>
          <w:kern w:val="21"/>
          <w:sz w:val="32"/>
          <w:szCs w:val="32"/>
        </w:rPr>
        <w:t>称号</w:t>
      </w:r>
      <w:r>
        <w:rPr>
          <w:rFonts w:hint="eastAsia" w:eastAsia="仿宋_GB2312"/>
          <w:color w:val="000000"/>
          <w:kern w:val="21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2、部门</w:t>
      </w:r>
      <w:r>
        <w:rPr>
          <w:rFonts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专项资金绩效目标</w:t>
      </w:r>
    </w:p>
    <w:p>
      <w:pPr>
        <w:spacing w:line="600" w:lineRule="exact"/>
        <w:ind w:firstLine="643" w:firstLineChars="200"/>
        <w:rPr>
          <w:rFonts w:hint="eastAsia" w:eastAsia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信访津贴：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实现上访人员的接访工作，信访津贴按时发放。</w:t>
      </w:r>
    </w:p>
    <w:p>
      <w:pPr>
        <w:spacing w:line="600" w:lineRule="exact"/>
        <w:ind w:firstLine="643" w:firstLineChars="200"/>
        <w:rPr>
          <w:rFonts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其他项目支出（除省级专项资金以外）绩效目标</w:t>
      </w:r>
    </w:p>
    <w:p>
      <w:pPr>
        <w:spacing w:line="60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综治维稳反恐经费专项：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_GB2312"/>
          <w:color w:val="000000"/>
          <w:sz w:val="32"/>
          <w:szCs w:val="32"/>
        </w:rPr>
        <w:t>重要时期的维稳安保任务，实现了“五个不发生”的工作目标。</w:t>
      </w:r>
    </w:p>
    <w:p>
      <w:pPr>
        <w:spacing w:line="600" w:lineRule="exact"/>
        <w:ind w:firstLine="640" w:firstLineChars="200"/>
        <w:rPr>
          <w:rFonts w:hint="eastAsia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扫黑除恶经费专项：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常态化开展扫黑除恶工作，增强群众的安全感。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6"/>
        <w:spacing w:line="600" w:lineRule="exact"/>
        <w:ind w:firstLine="643"/>
        <w:rPr>
          <w:rFonts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1、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</w:rPr>
        <w:t>1</w:t>
      </w:r>
      <w:r>
        <w:rPr>
          <w:rFonts w:eastAsia="仿宋"/>
          <w:color w:val="000000"/>
          <w:sz w:val="32"/>
          <w:szCs w:val="32"/>
        </w:rPr>
        <w:t>年预算资金486.38</w:t>
      </w:r>
      <w:r>
        <w:rPr>
          <w:rFonts w:hint="eastAsia" w:eastAsia="仿宋"/>
          <w:color w:val="000000"/>
          <w:sz w:val="32"/>
          <w:szCs w:val="32"/>
        </w:rPr>
        <w:t>万元。</w:t>
      </w:r>
    </w:p>
    <w:p>
      <w:pPr>
        <w:pStyle w:val="6"/>
        <w:spacing w:line="600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2、2021年度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</w:t>
      </w:r>
      <w:r>
        <w:rPr>
          <w:rFonts w:eastAsia="仿宋"/>
          <w:sz w:val="32"/>
          <w:szCs w:val="32"/>
        </w:rPr>
        <w:t>收入511.48</w:t>
      </w:r>
      <w:r>
        <w:rPr>
          <w:rFonts w:hint="eastAsia" w:eastAsia="仿宋"/>
          <w:sz w:val="32"/>
          <w:szCs w:val="32"/>
        </w:rPr>
        <w:t>万元。</w:t>
      </w:r>
    </w:p>
    <w:p>
      <w:pPr>
        <w:spacing w:line="580" w:lineRule="exact"/>
        <w:ind w:firstLine="640" w:firstLineChars="200"/>
        <w:rPr>
          <w:rFonts w:eastAsia="仿宋"/>
          <w:color w:val="0000FF"/>
          <w:sz w:val="32"/>
          <w:szCs w:val="32"/>
        </w:rPr>
      </w:pPr>
      <w:r>
        <w:rPr>
          <w:rFonts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2021年度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一般公共预算财政拨款支出</w:t>
      </w:r>
      <w:r>
        <w:rPr>
          <w:rFonts w:eastAsia="仿宋"/>
          <w:sz w:val="32"/>
          <w:szCs w:val="32"/>
        </w:rPr>
        <w:t>511.48</w:t>
      </w:r>
      <w:r>
        <w:rPr>
          <w:rFonts w:hint="eastAsia" w:eastAsia="仿宋"/>
          <w:sz w:val="32"/>
          <w:szCs w:val="32"/>
        </w:rPr>
        <w:t>万元，</w:t>
      </w:r>
      <w:r>
        <w:rPr>
          <w:rFonts w:eastAsia="仿宋"/>
          <w:sz w:val="32"/>
          <w:szCs w:val="32"/>
        </w:rPr>
        <w:t>其中：项目支出353.83万元，基本支出157.65万元，其中：人员经费133.5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万元，公用经费24.15</w:t>
      </w:r>
      <w:r>
        <w:rPr>
          <w:rFonts w:hint="eastAsia" w:eastAsia="仿宋"/>
          <w:sz w:val="32"/>
          <w:szCs w:val="32"/>
        </w:rPr>
        <w:t>万</w:t>
      </w:r>
      <w:r>
        <w:rPr>
          <w:rFonts w:eastAsia="仿宋"/>
          <w:sz w:val="32"/>
          <w:szCs w:val="32"/>
        </w:rPr>
        <w:t>元。</w:t>
      </w:r>
    </w:p>
    <w:p>
      <w:pPr>
        <w:pStyle w:val="6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6"/>
        <w:spacing w:line="60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2021年项目支出合计</w:t>
      </w:r>
      <w:r>
        <w:rPr>
          <w:rFonts w:eastAsia="仿宋"/>
          <w:sz w:val="32"/>
          <w:szCs w:val="32"/>
        </w:rPr>
        <w:t>353.83</w:t>
      </w:r>
      <w:r>
        <w:rPr>
          <w:rFonts w:hint="eastAsia" w:ascii="Times New Roman" w:hAnsi="Times New Roman" w:eastAsia="仿宋"/>
          <w:sz w:val="32"/>
          <w:szCs w:val="32"/>
        </w:rPr>
        <w:t>万元，其中：1、反邪经费项目支出3.71万元；2、教育整顿项目支出26.21万元；3、扫黑除恶项目支出6.25万元；4、司法救助项目支出45.7万元；5、网格化经费项目支出1.7万元；6、维稳经费26.91万元；7、信访津贴3.10万元；8、政务内网建设25.93万元；9、综治经费201.32万元；10、综治视联网和汇聚平台建设13万元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无。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无。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无。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(一）部门整体支出绩效情况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今年以来，芦淞区委政法委团结带领全区政法战线各单位忠诚履职、敢于担当、主动作为，圆满完成了建党100周年、全国和省市区“两会”及市党代会等重大活动、重要时期的维稳安保任务，实现了“五个不发生”的工作目标。2020年被省委、省政府评为综治工作先进县市区（继</w:t>
      </w:r>
      <w:r>
        <w:rPr>
          <w:rFonts w:eastAsia="仿宋_GB2312"/>
          <w:color w:val="000000"/>
          <w:sz w:val="32"/>
          <w:szCs w:val="32"/>
        </w:rPr>
        <w:t>2013</w:t>
      </w:r>
      <w:r>
        <w:rPr>
          <w:rFonts w:hint="eastAsia" w:eastAsia="仿宋_GB2312"/>
          <w:color w:val="000000"/>
          <w:sz w:val="32"/>
          <w:szCs w:val="32"/>
        </w:rPr>
        <w:t>年被评为省先进县市区以来，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hint="eastAsia" w:eastAsia="仿宋_GB2312"/>
          <w:color w:val="000000"/>
          <w:sz w:val="32"/>
          <w:szCs w:val="32"/>
        </w:rPr>
        <w:t>年后再次荣获此殊荣），</w:t>
      </w:r>
      <w:r>
        <w:rPr>
          <w:rFonts w:hint="eastAsia" w:eastAsia="仿宋_GB2312"/>
          <w:color w:val="000000"/>
          <w:kern w:val="21"/>
          <w:sz w:val="32"/>
          <w:szCs w:val="32"/>
        </w:rPr>
        <w:t>连续</w:t>
      </w:r>
      <w:r>
        <w:rPr>
          <w:rFonts w:eastAsia="仿宋_GB2312"/>
          <w:color w:val="000000"/>
          <w:kern w:val="21"/>
          <w:sz w:val="32"/>
          <w:szCs w:val="32"/>
        </w:rPr>
        <w:t>14</w:t>
      </w:r>
      <w:r>
        <w:rPr>
          <w:rFonts w:hint="eastAsia" w:eastAsia="仿宋_GB2312"/>
          <w:color w:val="000000"/>
          <w:kern w:val="21"/>
          <w:sz w:val="32"/>
          <w:szCs w:val="32"/>
        </w:rPr>
        <w:t>年保持</w:t>
      </w:r>
      <w:r>
        <w:rPr>
          <w:rFonts w:eastAsia="仿宋_GB2312"/>
          <w:color w:val="000000"/>
          <w:kern w:val="21"/>
          <w:sz w:val="32"/>
          <w:szCs w:val="32"/>
        </w:rPr>
        <w:t>“</w:t>
      </w:r>
      <w:r>
        <w:rPr>
          <w:rFonts w:hint="eastAsia" w:eastAsia="仿宋_GB2312"/>
          <w:color w:val="000000"/>
          <w:kern w:val="21"/>
          <w:sz w:val="32"/>
          <w:szCs w:val="32"/>
        </w:rPr>
        <w:t>省平安县市区</w:t>
      </w:r>
      <w:r>
        <w:rPr>
          <w:rFonts w:eastAsia="仿宋_GB2312"/>
          <w:color w:val="000000"/>
          <w:kern w:val="21"/>
          <w:sz w:val="32"/>
          <w:szCs w:val="32"/>
        </w:rPr>
        <w:t>”</w:t>
      </w:r>
      <w:r>
        <w:rPr>
          <w:rFonts w:hint="eastAsia" w:eastAsia="仿宋_GB2312"/>
          <w:color w:val="000000"/>
          <w:kern w:val="21"/>
          <w:sz w:val="32"/>
          <w:szCs w:val="32"/>
        </w:rPr>
        <w:t>称号，并且有望连续15年保持</w:t>
      </w:r>
      <w:r>
        <w:rPr>
          <w:rFonts w:eastAsia="仿宋_GB2312"/>
          <w:color w:val="000000"/>
          <w:kern w:val="21"/>
          <w:sz w:val="32"/>
          <w:szCs w:val="32"/>
        </w:rPr>
        <w:t>“</w:t>
      </w:r>
      <w:r>
        <w:rPr>
          <w:rFonts w:hint="eastAsia" w:eastAsia="仿宋_GB2312"/>
          <w:color w:val="000000"/>
          <w:kern w:val="21"/>
          <w:sz w:val="32"/>
          <w:szCs w:val="32"/>
        </w:rPr>
        <w:t>省平安县市区</w:t>
      </w:r>
      <w:r>
        <w:rPr>
          <w:rFonts w:eastAsia="仿宋_GB2312"/>
          <w:color w:val="000000"/>
          <w:kern w:val="21"/>
          <w:sz w:val="32"/>
          <w:szCs w:val="32"/>
        </w:rPr>
        <w:t>”</w:t>
      </w:r>
      <w:r>
        <w:rPr>
          <w:rFonts w:hint="eastAsia" w:eastAsia="仿宋_GB2312"/>
          <w:color w:val="000000"/>
          <w:kern w:val="21"/>
          <w:sz w:val="32"/>
          <w:szCs w:val="32"/>
        </w:rPr>
        <w:t>称号。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（二）专项资金支出绩效情况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综治维稳反恐经费专项资金使用绩效情况：</w:t>
      </w:r>
      <w:r>
        <w:rPr>
          <w:rFonts w:hint="eastAsia" w:eastAsia="仿宋_GB2312"/>
          <w:color w:val="000000"/>
          <w:sz w:val="32"/>
          <w:szCs w:val="32"/>
        </w:rPr>
        <w:t>圆满完成了建党100周年、全国和省市区“两会”及市党代会等重大活动、重要时期的维稳安保任务，实现了“五个不发生”的工作目标。2020年被省委、省政府评为综治工作先进县市区（继</w:t>
      </w:r>
      <w:r>
        <w:rPr>
          <w:rFonts w:eastAsia="仿宋_GB2312"/>
          <w:color w:val="000000"/>
          <w:sz w:val="32"/>
          <w:szCs w:val="32"/>
        </w:rPr>
        <w:t>2013</w:t>
      </w:r>
      <w:r>
        <w:rPr>
          <w:rFonts w:hint="eastAsia" w:eastAsia="仿宋_GB2312"/>
          <w:color w:val="000000"/>
          <w:sz w:val="32"/>
          <w:szCs w:val="32"/>
        </w:rPr>
        <w:t>年被评为省先进县市区以来，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hint="eastAsia" w:eastAsia="仿宋_GB2312"/>
          <w:color w:val="000000"/>
          <w:sz w:val="32"/>
          <w:szCs w:val="32"/>
        </w:rPr>
        <w:t>年后再次荣获此殊荣），</w:t>
      </w:r>
      <w:r>
        <w:rPr>
          <w:rFonts w:hint="eastAsia" w:eastAsia="仿宋_GB2312"/>
          <w:color w:val="000000"/>
          <w:kern w:val="21"/>
          <w:sz w:val="32"/>
          <w:szCs w:val="32"/>
        </w:rPr>
        <w:t>连续</w:t>
      </w:r>
      <w:r>
        <w:rPr>
          <w:rFonts w:eastAsia="仿宋_GB2312"/>
          <w:color w:val="000000"/>
          <w:kern w:val="21"/>
          <w:sz w:val="32"/>
          <w:szCs w:val="32"/>
        </w:rPr>
        <w:t>1</w:t>
      </w:r>
      <w:r>
        <w:rPr>
          <w:rFonts w:hint="eastAsia" w:eastAsia="仿宋_GB2312"/>
          <w:color w:val="000000"/>
          <w:kern w:val="21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kern w:val="21"/>
          <w:sz w:val="32"/>
          <w:szCs w:val="32"/>
        </w:rPr>
        <w:t>年保持</w:t>
      </w:r>
      <w:r>
        <w:rPr>
          <w:rFonts w:eastAsia="仿宋_GB2312"/>
          <w:color w:val="000000"/>
          <w:kern w:val="21"/>
          <w:sz w:val="32"/>
          <w:szCs w:val="32"/>
        </w:rPr>
        <w:t>“</w:t>
      </w:r>
      <w:r>
        <w:rPr>
          <w:rFonts w:hint="eastAsia" w:eastAsia="仿宋_GB2312"/>
          <w:color w:val="000000"/>
          <w:kern w:val="21"/>
          <w:sz w:val="32"/>
          <w:szCs w:val="32"/>
        </w:rPr>
        <w:t>省平安县市区</w:t>
      </w:r>
      <w:r>
        <w:rPr>
          <w:rFonts w:eastAsia="仿宋_GB2312"/>
          <w:color w:val="000000"/>
          <w:kern w:val="21"/>
          <w:sz w:val="32"/>
          <w:szCs w:val="32"/>
        </w:rPr>
        <w:t>”</w:t>
      </w:r>
      <w:r>
        <w:rPr>
          <w:rFonts w:hint="eastAsia" w:eastAsia="仿宋_GB2312"/>
          <w:color w:val="000000"/>
          <w:kern w:val="21"/>
          <w:sz w:val="32"/>
          <w:szCs w:val="32"/>
        </w:rPr>
        <w:t>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扫黑除恶经费专项资金使用绩效情况：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常态化开展扫黑除恶，坚持系统治理、依法治理、源头治理，区扫黑办前往芦淞市场服务中心召开市场群代表座谈会，深入一线走访调研，听取“两代表一委员”、市场经营户对开展扫黑除恶工作以来的意见建议，发放2000多份回访调查问卷，没有发现新的涉黑举报线索，人民群众对扫黑除恶工作积极拥护，营商环境大为改善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资产的日常管理使用中，因人事变动，资产流动、使用人更换频繁，有时不能及时更新资产管理系统中管理使用人信息。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numPr>
          <w:ilvl w:val="0"/>
          <w:numId w:val="0"/>
        </w:numPr>
        <w:spacing w:line="60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黑体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增强人员管理培训，积极更新系统信息。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绩效自评结果拟应用和公开情况</w:t>
      </w:r>
    </w:p>
    <w:p>
      <w:pPr>
        <w:pStyle w:val="7"/>
        <w:spacing w:line="560" w:lineRule="exact"/>
        <w:ind w:firstLine="640" w:firstLineChars="200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本单位没有独立网站，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除涉密项目外，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此次绩效自评报告将与2021年部门决算一起</w:t>
      </w:r>
      <w:r>
        <w:rPr>
          <w:rFonts w:hint="eastAsia" w:ascii="仿宋_GB2312" w:hAnsi="宋体" w:eastAsia="仿宋_GB2312"/>
          <w:sz w:val="32"/>
          <w:szCs w:val="32"/>
        </w:rPr>
        <w:t>在芦淞区政府信息公开专栏中公开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，接受群众监督。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AA8AC2"/>
    <w:multiLevelType w:val="singleLevel"/>
    <w:tmpl w:val="4EAA8AC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C44B4E"/>
    <w:rsid w:val="00004E70"/>
    <w:rsid w:val="001768A1"/>
    <w:rsid w:val="00207FA3"/>
    <w:rsid w:val="002428B9"/>
    <w:rsid w:val="00250C63"/>
    <w:rsid w:val="005101D7"/>
    <w:rsid w:val="005A433C"/>
    <w:rsid w:val="006E6CA8"/>
    <w:rsid w:val="008C62A7"/>
    <w:rsid w:val="00A56C8A"/>
    <w:rsid w:val="00C44B4E"/>
    <w:rsid w:val="00D5092F"/>
    <w:rsid w:val="00E5203F"/>
    <w:rsid w:val="00E55161"/>
    <w:rsid w:val="00F049FB"/>
    <w:rsid w:val="00F43E4E"/>
    <w:rsid w:val="00F675A0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632503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6EF118F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BE61DC0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186060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D87ABA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0"/>
      <w:ind w:left="0" w:leftChars="0" w:firstLine="420" w:firstLineChars="200"/>
    </w:pPr>
    <w:rPr>
      <w:sz w:val="28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1967</Words>
  <Characters>2083</Characters>
  <Lines>12</Lines>
  <Paragraphs>3</Paragraphs>
  <TotalTime>2</TotalTime>
  <ScaleCrop>false</ScaleCrop>
  <LinksUpToDate>false</LinksUpToDate>
  <CharactersWithSpaces>2087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2022-12-07T02:19:58Z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7B27860942374CB380ADBD47EE44EC95</vt:lpwstr>
  </property>
</Properties>
</file>