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880" w:firstLineChars="200"/>
        <w:jc w:val="both"/>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880" w:firstLineChars="200"/>
        <w:jc w:val="both"/>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880" w:firstLineChars="200"/>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880" w:firstLineChars="200"/>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2021年度中国共产党株洲市芦淞区委</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880" w:firstLineChars="200"/>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员会宣传部整体支出绩效自评报告</w:t>
      </w:r>
    </w:p>
    <w:p>
      <w:pPr>
        <w:keepNext w:val="0"/>
        <w:keepLines w:val="0"/>
        <w:pageBreakBefore w:val="0"/>
        <w:widowControl w:val="0"/>
        <w:kinsoku/>
        <w:wordWrap/>
        <w:overflowPunct/>
        <w:topLinePunct w:val="0"/>
        <w:bidi w:val="0"/>
        <w:snapToGrid/>
        <w:spacing w:line="560" w:lineRule="exact"/>
        <w:ind w:left="0" w:firstLine="643" w:firstLineChars="200"/>
        <w:jc w:val="center"/>
        <w:textAlignment w:val="auto"/>
        <w:rPr>
          <w:rFonts w:hint="default" w:ascii="Times New Roman" w:hAnsi="Times New Roman" w:eastAsia="楷体_GB2312" w:cs="Times New Roman"/>
          <w:b/>
          <w:sz w:val="32"/>
          <w:szCs w:val="32"/>
        </w:rPr>
      </w:pPr>
    </w:p>
    <w:p>
      <w:pPr>
        <w:keepNext w:val="0"/>
        <w:keepLines w:val="0"/>
        <w:pageBreakBefore w:val="0"/>
        <w:widowControl w:val="0"/>
        <w:kinsoku/>
        <w:wordWrap/>
        <w:overflowPunct/>
        <w:topLinePunct w:val="0"/>
        <w:bidi w:val="0"/>
        <w:snapToGrid/>
        <w:spacing w:line="560" w:lineRule="exact"/>
        <w:ind w:left="0" w:firstLine="643" w:firstLineChars="200"/>
        <w:jc w:val="center"/>
        <w:textAlignment w:val="auto"/>
        <w:rPr>
          <w:rFonts w:hint="default" w:ascii="Times New Roman" w:hAnsi="Times New Roman" w:eastAsia="楷体_GB2312" w:cs="Times New Roman"/>
          <w:b/>
          <w:sz w:val="32"/>
          <w:szCs w:val="32"/>
        </w:rPr>
      </w:pPr>
    </w:p>
    <w:p>
      <w:pPr>
        <w:keepNext w:val="0"/>
        <w:keepLines w:val="0"/>
        <w:pageBreakBefore w:val="0"/>
        <w:widowControl w:val="0"/>
        <w:kinsoku/>
        <w:wordWrap/>
        <w:overflowPunct/>
        <w:topLinePunct w:val="0"/>
        <w:bidi w:val="0"/>
        <w:snapToGrid/>
        <w:spacing w:line="560" w:lineRule="exact"/>
        <w:ind w:left="0" w:firstLine="643" w:firstLineChars="200"/>
        <w:jc w:val="center"/>
        <w:textAlignment w:val="auto"/>
        <w:rPr>
          <w:rFonts w:hint="default" w:ascii="Times New Roman" w:hAnsi="Times New Roman" w:eastAsia="楷体_GB2312" w:cs="Times New Roman"/>
          <w:b/>
          <w:sz w:val="32"/>
          <w:szCs w:val="32"/>
        </w:rPr>
      </w:pPr>
    </w:p>
    <w:p>
      <w:pPr>
        <w:keepNext w:val="0"/>
        <w:keepLines w:val="0"/>
        <w:pageBreakBefore w:val="0"/>
        <w:widowControl w:val="0"/>
        <w:kinsoku/>
        <w:wordWrap/>
        <w:overflowPunct/>
        <w:topLinePunct w:val="0"/>
        <w:bidi w:val="0"/>
        <w:snapToGrid/>
        <w:spacing w:line="560" w:lineRule="exact"/>
        <w:ind w:left="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bidi w:val="0"/>
        <w:snapToGrid/>
        <w:spacing w:line="560" w:lineRule="exact"/>
        <w:ind w:left="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bidi w:val="0"/>
        <w:snapToGrid/>
        <w:spacing w:line="560" w:lineRule="exact"/>
        <w:ind w:left="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bidi w:val="0"/>
        <w:snapToGrid/>
        <w:spacing w:line="560" w:lineRule="exact"/>
        <w:ind w:left="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bidi w:val="0"/>
        <w:snapToGrid/>
        <w:spacing w:line="560" w:lineRule="exact"/>
        <w:ind w:left="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bidi w:val="0"/>
        <w:snapToGrid/>
        <w:spacing w:line="560" w:lineRule="exact"/>
        <w:ind w:left="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bidi w:val="0"/>
        <w:snapToGrid/>
        <w:spacing w:line="560" w:lineRule="exact"/>
        <w:ind w:left="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bidi w:val="0"/>
        <w:snapToGrid/>
        <w:spacing w:line="560" w:lineRule="exact"/>
        <w:ind w:left="0" w:firstLine="880" w:firstLineChars="200"/>
        <w:jc w:val="center"/>
        <w:textAlignment w:val="auto"/>
        <w:rPr>
          <w:rFonts w:hint="default" w:ascii="Times New Roman" w:hAnsi="Times New Roman" w:eastAsia="黑体" w:cs="Times New Roman"/>
          <w:sz w:val="44"/>
          <w:szCs w:val="44"/>
        </w:rPr>
      </w:pPr>
    </w:p>
    <w:p>
      <w:pPr>
        <w:keepNext w:val="0"/>
        <w:keepLines w:val="0"/>
        <w:pageBreakBefore w:val="0"/>
        <w:widowControl w:val="0"/>
        <w:kinsoku/>
        <w:wordWrap/>
        <w:overflowPunct/>
        <w:topLinePunct w:val="0"/>
        <w:bidi w:val="0"/>
        <w:snapToGrid/>
        <w:spacing w:line="560" w:lineRule="exact"/>
        <w:ind w:left="0" w:firstLine="880" w:firstLineChars="200"/>
        <w:jc w:val="center"/>
        <w:textAlignment w:val="auto"/>
        <w:rPr>
          <w:rFonts w:hint="default" w:ascii="Times New Roman" w:hAnsi="Times New Roman" w:eastAsia="黑体" w:cs="Times New Roman"/>
          <w:sz w:val="44"/>
          <w:szCs w:val="44"/>
        </w:rPr>
      </w:pPr>
    </w:p>
    <w:p>
      <w:pPr>
        <w:keepNext w:val="0"/>
        <w:keepLines w:val="0"/>
        <w:pageBreakBefore w:val="0"/>
        <w:widowControl w:val="0"/>
        <w:kinsoku/>
        <w:wordWrap/>
        <w:overflowPunct/>
        <w:topLinePunct w:val="0"/>
        <w:bidi w:val="0"/>
        <w:snapToGrid/>
        <w:spacing w:line="560" w:lineRule="exact"/>
        <w:ind w:left="0" w:firstLine="880" w:firstLineChars="200"/>
        <w:jc w:val="center"/>
        <w:textAlignment w:val="auto"/>
        <w:rPr>
          <w:rFonts w:hint="default" w:ascii="Times New Roman" w:hAnsi="Times New Roman" w:eastAsia="黑体" w:cs="Times New Roman"/>
          <w:sz w:val="44"/>
          <w:szCs w:val="44"/>
        </w:rPr>
      </w:pPr>
    </w:p>
    <w:p>
      <w:pPr>
        <w:keepNext w:val="0"/>
        <w:keepLines w:val="0"/>
        <w:pageBreakBefore w:val="0"/>
        <w:widowControl w:val="0"/>
        <w:kinsoku/>
        <w:wordWrap/>
        <w:overflowPunct/>
        <w:topLinePunct w:val="0"/>
        <w:bidi w:val="0"/>
        <w:snapToGrid/>
        <w:spacing w:line="560" w:lineRule="exact"/>
        <w:ind w:left="0" w:firstLine="720" w:firstLineChars="200"/>
        <w:jc w:val="center"/>
        <w:textAlignment w:val="auto"/>
        <w:rPr>
          <w:rFonts w:hint="default" w:ascii="Times New Roman" w:hAnsi="Times New Roman" w:eastAsia="黑体" w:cs="Times New Roman"/>
          <w:sz w:val="36"/>
          <w:szCs w:val="36"/>
        </w:rPr>
      </w:pPr>
      <w:bookmarkStart w:id="0" w:name="_GoBack"/>
      <w:bookmarkEnd w:id="0"/>
    </w:p>
    <w:p>
      <w:pPr>
        <w:keepNext w:val="0"/>
        <w:keepLines w:val="0"/>
        <w:pageBreakBefore w:val="0"/>
        <w:widowControl w:val="0"/>
        <w:kinsoku/>
        <w:wordWrap/>
        <w:overflowPunct/>
        <w:topLinePunct w:val="0"/>
        <w:bidi w:val="0"/>
        <w:snapToGrid/>
        <w:spacing w:line="560" w:lineRule="exact"/>
        <w:ind w:left="0" w:firstLine="640" w:firstLineChars="200"/>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br w:type="page"/>
      </w:r>
      <w:r>
        <w:rPr>
          <w:rFonts w:hint="default" w:ascii="Times New Roman" w:hAnsi="Times New Roman" w:eastAsia="黑体" w:cs="Times New Roman"/>
          <w:sz w:val="32"/>
          <w:szCs w:val="32"/>
        </w:rPr>
        <w:t>一、基本情况</w:t>
      </w:r>
    </w:p>
    <w:p>
      <w:pPr>
        <w:keepNext w:val="0"/>
        <w:keepLines w:val="0"/>
        <w:pageBreakBefore w:val="0"/>
        <w:widowControl w:val="0"/>
        <w:kinsoku/>
        <w:wordWrap/>
        <w:overflowPunct/>
        <w:topLinePunct w:val="0"/>
        <w:bidi w:val="0"/>
        <w:snapToGrid/>
        <w:spacing w:line="560" w:lineRule="exact"/>
        <w:ind w:left="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（一）中国共产党株洲市芦淞区委员会宣传部基本情况</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本职能：1、贯彻执行党的宣传思想工作方针、政策；根据中宣部和省委宣传部、市委宣传部、区委的安排部署，负责制定全区宣传思想工作计划，并落实到位。2、负责全区干部理论教育。根据区委中心组理论学习，指导协调干部开展好理论研究与理论宣传。3、负责引导新闻舆论，把握舆论导向和宣传基调；协调新闻部门的工作。4、研究、提出全区对外宣传发展计划，知道、协调芦淞区对外宣传工作。</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组织协调全区网上宣传工作。对全区网络文化建设和管理进行知道，协调、督促各有关部门加强网络文化管理，做好网上热点敏感问题的舆论引导。6、负责规划、部署、组织、协调全区性思想政治工作；组织对全区先进典型的学习推广。7、宏观指导全区群众性的精神文明建设活动，研究拟定有关全区精神文明建设的方针、政策。8、承办区委交办的其他工作任务。</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内设基构：株洲市芦淞区委员会宣传部内设机构包括：文明办、 办公室、意识形态股、网信办 4 个职能股室，下设事业单位区融媒体中心（非独立核算）。</w:t>
      </w:r>
    </w:p>
    <w:p>
      <w:pPr>
        <w:keepNext w:val="0"/>
        <w:keepLines w:val="0"/>
        <w:pageBreakBefore w:val="0"/>
        <w:widowControl w:val="0"/>
        <w:kinsoku/>
        <w:wordWrap/>
        <w:overflowPunct/>
        <w:topLinePunct w:val="0"/>
        <w:bidi w:val="0"/>
        <w:snapToGrid/>
        <w:spacing w:line="560" w:lineRule="exact"/>
        <w:ind w:left="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（二）中国共产党株洲市芦淞区委员会宣传部年度整体支出绩效目标，部门专项资金绩效目标、其他项目支出（除省级专项资金以外）绩效目标。</w:t>
      </w:r>
    </w:p>
    <w:p>
      <w:pPr>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保障本单位日常人员正常运转，工资及五险一金正常发放等福利，开展工会活动。2、聚焦下一轮文明城市创建周期，启动新一轮文明城市建设三年行动计划。继续推进新时代文明实践中心、所、站、点建设。3、抓好全区1.3万多名党员意识形态领域的学习、宣传和教育，主动引导主流媒体，正面宣传芦淞，科学应对突发事件，落实好意识形态工作各项责任，牢牢把握意识形态领域的主动权、领导权、话语权。4、对外宣传，多渠道、多方位、多手段宣传芦淞经济机会及登重点中心工作、新闻宣传全年市级媒体发稿不低于1000篇。5、达到市委宣传部对县级党委（党组）中心组学习和学习型党组织建设年度考核要求，进一步开展掌上芦淞网络APP运营推广工作，为全区重点工作提供宣传展示的平台。6、进一步建设“芦淞宣传”微信公众号，不断扩大影响力。7、开展精准舆情监测，营造良好的舆论环境。8、加强网络执法监督工作，确保重点领域互联网安全。9、规范芦淞新闻网的管理。确保数据安全，避免出现以区委区政府名义散播反对言论、制造恐慌谣言等恶劣事件。10、切实做好网上群众路线工作，及时掌握基层群众意见建议。</w:t>
      </w:r>
    </w:p>
    <w:p>
      <w:pPr>
        <w:pStyle w:val="4"/>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4"/>
        <w:keepNext w:val="0"/>
        <w:keepLines w:val="0"/>
        <w:pageBreakBefore w:val="0"/>
        <w:widowControl w:val="0"/>
        <w:kinsoku/>
        <w:wordWrap/>
        <w:overflowPunct/>
        <w:topLinePunct w:val="0"/>
        <w:bidi w:val="0"/>
        <w:snapToGrid/>
        <w:spacing w:line="560" w:lineRule="exact"/>
        <w:ind w:left="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pStyle w:val="4"/>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1、2021年预算资金413.54万元。</w:t>
      </w:r>
    </w:p>
    <w:p>
      <w:pPr>
        <w:pStyle w:val="4"/>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2、2021年度单位一般公共预算财政拨款收入412.64万元。</w:t>
      </w:r>
    </w:p>
    <w:p>
      <w:pPr>
        <w:pStyle w:val="4"/>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3.2021年度单位一般公共预算财政拨款支出412.64其中：项目支出221.28万元，基本支出191.36万元，其中：人员经费178.77万元，公用经费12.59万元。</w:t>
      </w:r>
    </w:p>
    <w:p>
      <w:pPr>
        <w:pStyle w:val="4"/>
        <w:keepNext w:val="0"/>
        <w:keepLines w:val="0"/>
        <w:pageBreakBefore w:val="0"/>
        <w:widowControl w:val="0"/>
        <w:numPr>
          <w:ilvl w:val="0"/>
          <w:numId w:val="1"/>
        </w:numPr>
        <w:kinsoku/>
        <w:wordWrap/>
        <w:overflowPunct/>
        <w:topLinePunct w:val="0"/>
        <w:bidi w:val="0"/>
        <w:snapToGrid/>
        <w:spacing w:line="560" w:lineRule="exact"/>
        <w:ind w:left="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pPr>
        <w:pStyle w:val="4"/>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1、意识形态项目支出171.84万元。</w:t>
      </w:r>
    </w:p>
    <w:p>
      <w:pPr>
        <w:pStyle w:val="4"/>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2、中心组学习项目支出25.29万元。</w:t>
      </w:r>
    </w:p>
    <w:p>
      <w:pPr>
        <w:pStyle w:val="4"/>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3、重点创建项目支出24.15万元。</w:t>
      </w:r>
    </w:p>
    <w:p>
      <w:pPr>
        <w:pStyle w:val="4"/>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pPr>
        <w:pStyle w:val="4"/>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2021年度政府性基金预算财政拨款收入0.9万元，年初结转和结余0万元，支出0.9万元，其中基本支出0万元，项目支出0.9万元，年末结转和结余0万元。</w:t>
      </w:r>
    </w:p>
    <w:p>
      <w:pPr>
        <w:pStyle w:val="4"/>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四、国有资本经营预算支出情况</w:t>
      </w:r>
    </w:p>
    <w:p>
      <w:pPr>
        <w:pStyle w:val="4"/>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仿宋_GB2312" w:cs="Times New Roman"/>
          <w:sz w:val="32"/>
          <w:szCs w:val="32"/>
          <w:lang w:eastAsia="zh-CN"/>
        </w:rPr>
        <w:t>无。</w:t>
      </w:r>
    </w:p>
    <w:p>
      <w:pPr>
        <w:pStyle w:val="4"/>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五、社会保险基金预算支出情况</w:t>
      </w:r>
    </w:p>
    <w:p>
      <w:pPr>
        <w:pStyle w:val="4"/>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仿宋_GB2312" w:cs="Times New Roman"/>
          <w:sz w:val="32"/>
          <w:szCs w:val="32"/>
          <w:lang w:eastAsia="zh-CN"/>
        </w:rPr>
        <w:t>无</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六、资金使用及绩效情况</w:t>
      </w:r>
    </w:p>
    <w:p>
      <w:pPr>
        <w:keepNext w:val="0"/>
        <w:keepLines w:val="0"/>
        <w:pageBreakBefore w:val="0"/>
        <w:widowControl w:val="0"/>
        <w:kinsoku/>
        <w:wordWrap/>
        <w:overflowPunct/>
        <w:topLinePunct w:val="0"/>
        <w:bidi w:val="0"/>
        <w:snapToGrid/>
        <w:spacing w:line="560" w:lineRule="exact"/>
        <w:ind w:left="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(一）部门整体支出绩效情况</w:t>
      </w:r>
    </w:p>
    <w:p>
      <w:pPr>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芦淞区宣传部的基本支出主要为用于保障机构正常运转、完成日常工作而发生的支出，包括人员经费和公用经费等。2021年基本支出合计191.36万元。其中： 1、工资福利支出177.54万元。工资福利支出为芦淞区宣传部行政运行的基本工资、津贴补贴、奖金、机关事业单位基本养老保险缴费、职工基本医疗保险缴费、其他社会保障缴费、住房公积金、医疗费。2、商品和服务支出12.59万元。商品和服务支出为芦淞区宣传部行政运行的办公费、邮电费、差旅费、委托业务费、工会经费、其他商品和服务等。3、对个人和家庭的补助支出1.23万元。对个人和家庭的补助为生活补助支出。4、芦淞区宣传部 2021年度无“三公”经费财政拨款支出。2021年</w:t>
      </w:r>
      <w:r>
        <w:rPr>
          <w:rFonts w:hint="default" w:ascii="Times New Roman" w:hAnsi="Times New Roman" w:eastAsia="仿宋" w:cs="Times New Roman"/>
          <w:sz w:val="32"/>
          <w:szCs w:val="32"/>
        </w:rPr>
        <w:t>项目支出221.28万元主要用于，意识形态项目支出171.84万元，中心组学习项目支出25.29万元，重点创建项目支出24.15万元。</w:t>
      </w:r>
      <w:r>
        <w:rPr>
          <w:rFonts w:hint="default" w:ascii="Times New Roman" w:hAnsi="Times New Roman" w:eastAsia="仿宋_GB2312" w:cs="Times New Roman"/>
          <w:color w:val="000000"/>
          <w:sz w:val="32"/>
          <w:szCs w:val="32"/>
        </w:rPr>
        <w:t>一年来，全区宣传思想文化战线在习近平新时代中国特色社会主义思想的指引下，紧密结合庆祝中国共产党成立100周年和党史学习教育，围绕中心、服务大局，不断拓宽宣传领域，创新载体手段，理论武装、舆论引导、文明创建、文化事业等各项工作取得明显成效，为建设现代化新芦淞提供了思想保证和精神力量。</w:t>
      </w:r>
    </w:p>
    <w:p>
      <w:pPr>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经反馈，芦淞区社会各界对芦淞区宣传部履职情况满意占 91.42%，基本满意占8.58%，不满意占 0%。</w:t>
      </w:r>
    </w:p>
    <w:p>
      <w:pPr>
        <w:keepNext w:val="0"/>
        <w:keepLines w:val="0"/>
        <w:pageBreakBefore w:val="0"/>
        <w:widowControl w:val="0"/>
        <w:kinsoku/>
        <w:wordWrap/>
        <w:overflowPunct/>
        <w:topLinePunct w:val="0"/>
        <w:bidi w:val="0"/>
        <w:snapToGrid/>
        <w:spacing w:line="560" w:lineRule="exact"/>
        <w:ind w:left="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（二）专项资金支出绩效情况</w:t>
      </w:r>
    </w:p>
    <w:p>
      <w:pPr>
        <w:pStyle w:val="4"/>
        <w:keepNext w:val="0"/>
        <w:keepLines w:val="0"/>
        <w:pageBreakBefore w:val="0"/>
        <w:widowControl w:val="0"/>
        <w:kinsoku/>
        <w:wordWrap/>
        <w:overflowPunct/>
        <w:topLinePunct w:val="0"/>
        <w:bidi w:val="0"/>
        <w:snapToGrid/>
        <w:spacing w:line="560" w:lineRule="exact"/>
        <w:ind w:left="0"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1．主题突出，理论武装走深走实。</w:t>
      </w:r>
      <w:r>
        <w:rPr>
          <w:rFonts w:hint="default" w:ascii="Times New Roman" w:hAnsi="Times New Roman" w:eastAsia="仿宋_GB2312" w:cs="Times New Roman"/>
          <w:color w:val="000000"/>
          <w:sz w:val="32"/>
          <w:szCs w:val="32"/>
        </w:rPr>
        <w:t>聚焦学习贯彻习近平新时代中国特色社会主义思想，组织区委理论学习中心组学习13次。制定中心组学习重点内容安排和学习巡听旁听实施细则。通过学习强国、“新思想每日一题”专栏、读书分享会等载体，增强广大党员干部学习自觉。“卢轩平”署名文章成为高举旗帜、引领导向的观点高地。向市党代会“献计献策”活动建言500余条，被采用及报送的数量均居全市前列。组建区委宣讲团、“理响芦淞”宣讲小分队、老党员宣讲队、快板宣讲队广泛进行宣讲送学，开展宣讲400余场，推动新思想传遍芦淞的山山水水。</w:t>
      </w:r>
    </w:p>
    <w:p>
      <w:pPr>
        <w:pStyle w:val="4"/>
        <w:keepNext w:val="0"/>
        <w:keepLines w:val="0"/>
        <w:pageBreakBefore w:val="0"/>
        <w:widowControl w:val="0"/>
        <w:kinsoku/>
        <w:wordWrap/>
        <w:overflowPunct/>
        <w:topLinePunct w:val="0"/>
        <w:bidi w:val="0"/>
        <w:snapToGrid/>
        <w:spacing w:line="560" w:lineRule="exact"/>
        <w:ind w:left="0"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2．主线鲜明，庆祝活动出新出彩。</w:t>
      </w:r>
      <w:r>
        <w:rPr>
          <w:rFonts w:hint="default" w:ascii="Times New Roman" w:hAnsi="Times New Roman" w:eastAsia="仿宋_GB2312" w:cs="Times New Roman"/>
          <w:color w:val="000000"/>
          <w:sz w:val="32"/>
          <w:szCs w:val="32"/>
        </w:rPr>
        <w:t>将隆重庆祝党的百年华诞作为贯穿全年的一条鲜明主线，全力唱响共产党好、社会主义好、改革开放好、伟大祖国好、各族人民好的时代主旋律。区委带头开展4次党史学习教育专题学习，带动各级党委（党组）开展专题学习200余次。中央电视台CCTV4《国家记忆》栏目播出芦淞烈士钟奇革命事迹和感人家书，反响热烈。编撰“红色芦淞”“芦淞区烈士英名录”“中国共产党芦淞区历史大事记（1921-2021）”，记录红色历史。开展“红色传承”诗词文学采风创作活动，举办庆祝党的百年华诞系列诗词、美术、摄影作品展览。精心组织“百年风华、株洲力量”党史学习教育专题演讲比赛，我区选手荣获全市一等奖。率先梳理制定142项为民实事清单，为民办实事1800余件。</w:t>
      </w:r>
    </w:p>
    <w:p>
      <w:pPr>
        <w:pStyle w:val="4"/>
        <w:keepNext w:val="0"/>
        <w:keepLines w:val="0"/>
        <w:pageBreakBefore w:val="0"/>
        <w:widowControl w:val="0"/>
        <w:kinsoku/>
        <w:wordWrap/>
        <w:overflowPunct/>
        <w:topLinePunct w:val="0"/>
        <w:bidi w:val="0"/>
        <w:snapToGrid/>
        <w:spacing w:line="560" w:lineRule="exact"/>
        <w:ind w:left="0"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3．主调高扬，新闻宣传有声有势</w:t>
      </w:r>
      <w:r>
        <w:rPr>
          <w:rFonts w:hint="default" w:ascii="Times New Roman" w:hAnsi="Times New Roman" w:eastAsia="仿宋_GB2312" w:cs="Times New Roman"/>
          <w:color w:val="000000"/>
          <w:sz w:val="32"/>
          <w:szCs w:val="32"/>
        </w:rPr>
        <w:t>。累计在市级以上主流媒体发稿3700余篇次，其中央媒发稿达257篇次，破历史新高。《“欢度五一：在株洲体验飞机驾驶”》被央视新闻联播、新闻三十分、《我爱发明》栏目“点名、点赞”；央视新闻联播、中央电视台13套新闻直播间、新华社等聚焦通用航空产业博览会，专题报道展演开幕式盛况；《湖南首条固定低空旅游航线“株洲—常德—张家界”实现首航》在央视网、央广网、新华社（全媒体）等20多家中央省市主流媒体全网刊发等等，极大地提高了株洲通航产业的影响力。“百变穿版模特”服饰产业专题报道在中国日报（全球发行）、人民摄影报整版刊登。《湖南株洲：信息化科技手段助力防疫工作》在新华社客户端首日阅读量达110万+；央视新闻联播、《东方时空》《朝闻天下》重要疫情防控报道中多次呈现芦淞画面。中央电视台“谁知盘中餐”栏目25分钟专题介绍白关丝瓜；中央二套“消费主张”栏目再次来到芦淞，专题拍摄并播出了25分钟的夜市纪录片。区融媒矩阵累计发布作品5100余条，《过于真实！硬扎的芦淞人出门、在家都是锅范防疫的……》获评2020年度“新湖南云”十佳融媒体作品。“湖南株洲，核酸检测点，小女孩认出了妈妈”视频在人民日报官方抖音上获赞300多万，浏览量上亿。城管队员疫情防控值守照片被人民日报官方微博刊发。</w:t>
      </w:r>
    </w:p>
    <w:p>
      <w:pPr>
        <w:pStyle w:val="4"/>
        <w:keepNext w:val="0"/>
        <w:keepLines w:val="0"/>
        <w:pageBreakBefore w:val="0"/>
        <w:widowControl w:val="0"/>
        <w:kinsoku/>
        <w:wordWrap/>
        <w:overflowPunct/>
        <w:topLinePunct w:val="0"/>
        <w:bidi w:val="0"/>
        <w:snapToGrid/>
        <w:spacing w:line="560" w:lineRule="exact"/>
        <w:ind w:left="0"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4．主弦紧绷，文明创建常抓常新。</w:t>
      </w:r>
      <w:r>
        <w:rPr>
          <w:rFonts w:hint="default" w:ascii="Times New Roman" w:hAnsi="Times New Roman" w:eastAsia="仿宋_GB2312" w:cs="Times New Roman"/>
          <w:color w:val="000000"/>
          <w:sz w:val="32"/>
          <w:szCs w:val="32"/>
        </w:rPr>
        <w:t>努力争创文明典范城市，深入培育和践行社会主义核心价值观，获评株洲市文明建设先进区、文明城市创建突出贡献区殊荣。建成新时代文明实践中心和88个新时代文明实践所、站，打造“1+45+N”志愿服务队伍，注册登记志愿者4.3万余名，累计开展活动1100余场次。5人上榜或提名“湖南好人”，3人被评为株洲市最美志愿者。深入推进乡风文明建设，7942户最美庭院挂牌，打造全市第一个村级廉政文化教育基地，建设镇村大舞台15个。</w:t>
      </w:r>
    </w:p>
    <w:p>
      <w:pPr>
        <w:pStyle w:val="4"/>
        <w:keepNext w:val="0"/>
        <w:keepLines w:val="0"/>
        <w:pageBreakBefore w:val="0"/>
        <w:widowControl w:val="0"/>
        <w:kinsoku/>
        <w:wordWrap/>
        <w:overflowPunct/>
        <w:topLinePunct w:val="0"/>
        <w:bidi w:val="0"/>
        <w:snapToGrid/>
        <w:spacing w:line="560" w:lineRule="exact"/>
        <w:ind w:left="0"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5．主向坚定，文化事业聚心聚力。</w:t>
      </w:r>
      <w:r>
        <w:rPr>
          <w:rFonts w:hint="default" w:ascii="Times New Roman" w:hAnsi="Times New Roman" w:eastAsia="仿宋_GB2312" w:cs="Times New Roman"/>
          <w:color w:val="000000"/>
          <w:sz w:val="32"/>
          <w:szCs w:val="32"/>
        </w:rPr>
        <w:t>坚持以人民为中心的工作导向，推动文化强区事业繁荣发展。建设“门前三小”服务点22个，打造示范点1个。《不能忘却的记忆》获得株洲市欢乐潇湘“十佳节目”，原创舞蹈《走》入围中国“荷花奖”总决赛。《唱支山歌给党听》进入国家公共文化云平台和央视频平台“最美歌声”作品投票榜前20名。枫溪街道文化站入选全省最美潇湘文化阵地，山河乐飞、通用机场接受省级研学旅游（示范）基地创建现场复核。</w:t>
      </w:r>
    </w:p>
    <w:p>
      <w:pPr>
        <w:pStyle w:val="4"/>
        <w:keepNext w:val="0"/>
        <w:keepLines w:val="0"/>
        <w:pageBreakBefore w:val="0"/>
        <w:widowControl w:val="0"/>
        <w:kinsoku/>
        <w:wordWrap/>
        <w:overflowPunct/>
        <w:topLinePunct w:val="0"/>
        <w:bidi w:val="0"/>
        <w:snapToGrid/>
        <w:spacing w:line="560" w:lineRule="exact"/>
        <w:ind w:left="0"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6．主责牢靠，意识形态向上向好。</w:t>
      </w:r>
      <w:r>
        <w:rPr>
          <w:rFonts w:hint="default" w:ascii="Times New Roman" w:hAnsi="Times New Roman" w:eastAsia="仿宋_GB2312" w:cs="Times New Roman"/>
          <w:color w:val="000000"/>
          <w:sz w:val="32"/>
          <w:szCs w:val="32"/>
        </w:rPr>
        <w:t>向区委常委会专题汇报意识形态工作2次，印发《落实党委（党组）意识形态工作责任制实施方案》。开展意识形态工作责任制述职评议，对48个党委（党组）进行专项督查，召开2次意识形态工作联席会议。15家单位巡察整改销号，省委巡视反馈的19个具体问题，已全部整改到位。累计监测涉区负面舆情300余条，编撰《芦淞舆情》9期。妥善处理重大突发负面舆情1条，澄清疫情谣言3条，办理违反《网络安全法》案件7起。舆情信息被中宣部综采3条，省委宣传部综采60余条。开展“扫黄打非”集中整治行动6次，查缴非法出版物100余本，桠枝塘社区成功创建“扫黄打非”省级示范点。</w:t>
      </w:r>
    </w:p>
    <w:p>
      <w:pPr>
        <w:pStyle w:val="4"/>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pPr>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w:t>
      </w:r>
      <w:r>
        <w:rPr>
          <w:rFonts w:hint="eastAsia" w:eastAsia="仿宋_GB2312" w:cs="Times New Roman"/>
          <w:sz w:val="32"/>
          <w:szCs w:val="32"/>
          <w:lang w:eastAsia="zh-CN"/>
        </w:rPr>
        <w:t>绩效管理的意识</w:t>
      </w:r>
      <w:r>
        <w:rPr>
          <w:rFonts w:hint="default" w:ascii="Times New Roman" w:hAnsi="Times New Roman" w:eastAsia="仿宋_GB2312" w:cs="Times New Roman"/>
          <w:sz w:val="32"/>
          <w:szCs w:val="32"/>
        </w:rPr>
        <w:t>有待提升。二是</w:t>
      </w:r>
      <w:r>
        <w:rPr>
          <w:rFonts w:hint="eastAsia" w:eastAsia="仿宋_GB2312" w:cs="Times New Roman"/>
          <w:sz w:val="32"/>
          <w:szCs w:val="32"/>
          <w:lang w:eastAsia="zh-CN"/>
        </w:rPr>
        <w:t>绩效目标的编制尚需更加科学和细化</w:t>
      </w:r>
      <w:r>
        <w:rPr>
          <w:rFonts w:hint="default" w:ascii="Times New Roman" w:hAnsi="Times New Roman" w:eastAsia="仿宋_GB2312" w:cs="Times New Roman"/>
          <w:sz w:val="32"/>
          <w:szCs w:val="32"/>
        </w:rPr>
        <w:t>。三是</w:t>
      </w:r>
      <w:r>
        <w:rPr>
          <w:rFonts w:hint="eastAsia" w:eastAsia="仿宋_GB2312" w:cs="Times New Roman"/>
          <w:sz w:val="32"/>
          <w:szCs w:val="32"/>
          <w:lang w:eastAsia="zh-CN"/>
        </w:rPr>
        <w:t>尚需强化对专项资金的跟踪监控，及时关注重点专项资金的预算执行情况和使用效率</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八、下一步改进措施</w:t>
      </w:r>
    </w:p>
    <w:p>
      <w:pPr>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加强预算编制的科学性与严谨性，提高分配各类资金的准确性。</w:t>
      </w:r>
    </w:p>
    <w:p>
      <w:pPr>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九、绩效自评结果拟应用和公开情况</w:t>
      </w:r>
    </w:p>
    <w:p>
      <w:pPr>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根据预算绩效管理要求，本单位组织对 2021年度部门整体支出开展了绩效自评，从评价情况来看，预算执行及时、有效，绩效目标得到较好实现，</w:t>
      </w:r>
      <w:r>
        <w:rPr>
          <w:rFonts w:hint="eastAsia" w:eastAsia="仿宋_GB2312" w:cs="Times New Roman"/>
          <w:sz w:val="32"/>
          <w:szCs w:val="32"/>
          <w:lang w:eastAsia="zh-CN"/>
        </w:rPr>
        <w:t>自评结果将广泛运用于来年的预算编制和管理上，以期</w:t>
      </w:r>
      <w:r>
        <w:rPr>
          <w:rFonts w:hint="default" w:ascii="Times New Roman" w:hAnsi="Times New Roman" w:eastAsia="仿宋_GB2312" w:cs="Times New Roman"/>
          <w:sz w:val="32"/>
          <w:szCs w:val="32"/>
        </w:rPr>
        <w:t>绩效管理水平不断提高。</w:t>
      </w:r>
    </w:p>
    <w:p>
      <w:pPr>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本单位没有独立网站，</w:t>
      </w:r>
      <w:r>
        <w:rPr>
          <w:rFonts w:hint="eastAsia" w:eastAsia="仿宋_GB2312" w:cs="Times New Roman"/>
          <w:sz w:val="32"/>
          <w:szCs w:val="32"/>
          <w:lang w:eastAsia="zh-CN"/>
        </w:rPr>
        <w:t>自评结果</w:t>
      </w:r>
      <w:r>
        <w:rPr>
          <w:rFonts w:hint="default" w:ascii="Times New Roman" w:hAnsi="Times New Roman" w:eastAsia="仿宋_GB2312" w:cs="Times New Roman"/>
          <w:sz w:val="32"/>
          <w:szCs w:val="32"/>
        </w:rPr>
        <w:t>在芦淞区政府信息公开专栏中公开。</w:t>
      </w:r>
    </w:p>
    <w:p>
      <w:pPr>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十、其他需要说明的情况</w:t>
      </w:r>
    </w:p>
    <w:p>
      <w:pPr>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pPr>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bidi w:val="0"/>
        <w:snapToGrid/>
        <w:spacing w:line="560" w:lineRule="exact"/>
        <w:ind w:left="0" w:firstLine="420" w:firstLineChars="200"/>
        <w:jc w:val="both"/>
        <w:textAlignment w:val="auto"/>
        <w:rPr>
          <w:rFonts w:hint="default" w:ascii="Times New Roman" w:hAnsi="Times New Roman" w:cs="Times New Roman"/>
        </w:rPr>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0FF15"/>
    <w:multiLevelType w:val="singleLevel"/>
    <w:tmpl w:val="4890FF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wZGVjMjRiMjI1ODA0ZDFlNjdlNTY2ZjczZjQ4ZDMifQ=="/>
  </w:docVars>
  <w:rsids>
    <w:rsidRoot w:val="00DF1E87"/>
    <w:rsid w:val="00004E70"/>
    <w:rsid w:val="000D47B4"/>
    <w:rsid w:val="000E4AA1"/>
    <w:rsid w:val="00154695"/>
    <w:rsid w:val="001E45CA"/>
    <w:rsid w:val="00207FA3"/>
    <w:rsid w:val="002837D5"/>
    <w:rsid w:val="00294CE2"/>
    <w:rsid w:val="00377BD2"/>
    <w:rsid w:val="00451057"/>
    <w:rsid w:val="00477D47"/>
    <w:rsid w:val="00521642"/>
    <w:rsid w:val="0059408E"/>
    <w:rsid w:val="005A433C"/>
    <w:rsid w:val="00626F38"/>
    <w:rsid w:val="00645234"/>
    <w:rsid w:val="006545CE"/>
    <w:rsid w:val="00687FF0"/>
    <w:rsid w:val="006E1740"/>
    <w:rsid w:val="006E3C80"/>
    <w:rsid w:val="007B4629"/>
    <w:rsid w:val="007E78F2"/>
    <w:rsid w:val="00822C67"/>
    <w:rsid w:val="00882DD0"/>
    <w:rsid w:val="008C62A7"/>
    <w:rsid w:val="00960B1A"/>
    <w:rsid w:val="009733E3"/>
    <w:rsid w:val="009D1057"/>
    <w:rsid w:val="00A51F1E"/>
    <w:rsid w:val="00A56C8A"/>
    <w:rsid w:val="00C7734D"/>
    <w:rsid w:val="00CE287C"/>
    <w:rsid w:val="00D5092F"/>
    <w:rsid w:val="00DA1730"/>
    <w:rsid w:val="00DF1E87"/>
    <w:rsid w:val="00E174D0"/>
    <w:rsid w:val="00E40682"/>
    <w:rsid w:val="00E55161"/>
    <w:rsid w:val="00E76E82"/>
    <w:rsid w:val="00F268D8"/>
    <w:rsid w:val="00F5004B"/>
    <w:rsid w:val="00FE7852"/>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24179"/>
    <w:rsid w:val="146C1DD9"/>
    <w:rsid w:val="14BF24DE"/>
    <w:rsid w:val="14CC54C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E2E8E"/>
    <w:rsid w:val="1AF51455"/>
    <w:rsid w:val="1B9D302A"/>
    <w:rsid w:val="1BF446CE"/>
    <w:rsid w:val="1C704031"/>
    <w:rsid w:val="1D271A66"/>
    <w:rsid w:val="1DCB47DF"/>
    <w:rsid w:val="1E601115"/>
    <w:rsid w:val="1EB03217"/>
    <w:rsid w:val="1F000FB0"/>
    <w:rsid w:val="1F111AD7"/>
    <w:rsid w:val="1F5A1E7F"/>
    <w:rsid w:val="1FA707DF"/>
    <w:rsid w:val="1FFE7B8C"/>
    <w:rsid w:val="203C025A"/>
    <w:rsid w:val="20775CA3"/>
    <w:rsid w:val="217A1AB1"/>
    <w:rsid w:val="22695B47"/>
    <w:rsid w:val="243235AA"/>
    <w:rsid w:val="24B10BAC"/>
    <w:rsid w:val="24D2061D"/>
    <w:rsid w:val="251132F3"/>
    <w:rsid w:val="253C38DE"/>
    <w:rsid w:val="25B24E22"/>
    <w:rsid w:val="262B4FF6"/>
    <w:rsid w:val="264810A7"/>
    <w:rsid w:val="265A7CC8"/>
    <w:rsid w:val="27014400"/>
    <w:rsid w:val="271B2298"/>
    <w:rsid w:val="276D0D8C"/>
    <w:rsid w:val="286C33CA"/>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30343502"/>
    <w:rsid w:val="30470CFF"/>
    <w:rsid w:val="306918BE"/>
    <w:rsid w:val="30A37680"/>
    <w:rsid w:val="31AF70F0"/>
    <w:rsid w:val="32D24F00"/>
    <w:rsid w:val="32D963A9"/>
    <w:rsid w:val="32ED21B4"/>
    <w:rsid w:val="331926DE"/>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F97A89"/>
    <w:rsid w:val="5B352171"/>
    <w:rsid w:val="5B514882"/>
    <w:rsid w:val="5B5C757D"/>
    <w:rsid w:val="5B6B124E"/>
    <w:rsid w:val="5D155819"/>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B3B48D5"/>
    <w:rsid w:val="6BBF4B8D"/>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2696BF8"/>
    <w:rsid w:val="72FE6770"/>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Calibri" w:hAnsi="Calibri"/>
      <w:szCs w:val="22"/>
    </w:rPr>
  </w:style>
  <w:style w:type="paragraph" w:customStyle="1" w:styleId="5">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3867</Words>
  <Characters>4077</Characters>
  <Lines>30</Lines>
  <Paragraphs>8</Paragraphs>
  <TotalTime>6</TotalTime>
  <ScaleCrop>false</ScaleCrop>
  <LinksUpToDate>false</LinksUpToDate>
  <CharactersWithSpaces>4085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Administrator</cp:lastModifiedBy>
  <dcterms:modified xsi:type="dcterms:W3CDTF">2022-12-07T03:38:18Z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46B1E17AE7754E13BA78DBD53DD7830E</vt:lpwstr>
  </property>
</Properties>
</file>