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jc w:val="center"/>
        <w:rPr>
          <w:rFonts w:asciiTheme="minorEastAsia" w:hAnsiTheme="minorEastAsia" w:eastAsiaTheme="minorEastAsia" w:cstheme="minorEastAsia"/>
          <w:color w:val="auto"/>
          <w:sz w:val="32"/>
          <w:szCs w:val="32"/>
        </w:rPr>
      </w:pPr>
    </w:p>
    <w:p>
      <w:pPr>
        <w:pStyle w:val="18"/>
        <w:jc w:val="center"/>
        <w:rPr>
          <w:rFonts w:asciiTheme="minorEastAsia" w:hAnsiTheme="minorEastAsia" w:eastAsiaTheme="minorEastAsia" w:cstheme="minorEastAsia"/>
          <w:color w:val="auto"/>
          <w:sz w:val="32"/>
          <w:szCs w:val="32"/>
        </w:rPr>
      </w:pPr>
    </w:p>
    <w:p>
      <w:pPr>
        <w:pStyle w:val="18"/>
        <w:jc w:val="center"/>
        <w:rPr>
          <w:rFonts w:asciiTheme="minorEastAsia" w:hAnsiTheme="minorEastAsia" w:eastAsiaTheme="minorEastAsia" w:cstheme="minorEastAsia"/>
          <w:color w:val="auto"/>
          <w:sz w:val="32"/>
          <w:szCs w:val="32"/>
        </w:rPr>
      </w:pPr>
    </w:p>
    <w:p>
      <w:pPr>
        <w:pStyle w:val="18"/>
        <w:jc w:val="center"/>
        <w:rPr>
          <w:rFonts w:asciiTheme="minorEastAsia" w:hAnsiTheme="minorEastAsia" w:eastAsiaTheme="minorEastAsia" w:cstheme="minorEastAsia"/>
          <w:color w:val="auto"/>
          <w:sz w:val="32"/>
          <w:szCs w:val="32"/>
        </w:rPr>
      </w:pPr>
    </w:p>
    <w:p>
      <w:pPr>
        <w:jc w:val="center"/>
        <w:rPr>
          <w:rFonts w:asciiTheme="minorEastAsia" w:hAnsiTheme="minorEastAsia" w:cstheme="minorEastAsia"/>
          <w:kern w:val="0"/>
          <w:sz w:val="32"/>
          <w:szCs w:val="32"/>
        </w:rPr>
      </w:pPr>
    </w:p>
    <w:p>
      <w:pPr>
        <w:jc w:val="center"/>
        <w:rPr>
          <w:rFonts w:asciiTheme="minorEastAsia" w:hAnsiTheme="minorEastAsia" w:cstheme="minorEastAsia"/>
          <w:b/>
          <w:sz w:val="32"/>
          <w:szCs w:val="32"/>
        </w:rPr>
      </w:pPr>
      <w:r>
        <w:rPr>
          <w:rFonts w:hint="eastAsia" w:asciiTheme="minorEastAsia" w:hAnsiTheme="minorEastAsia" w:cstheme="minorEastAsia"/>
          <w:b/>
          <w:sz w:val="32"/>
          <w:szCs w:val="32"/>
        </w:rPr>
        <w:t>2021年部门整体支出绩效报告</w:t>
      </w:r>
    </w:p>
    <w:p>
      <w:pPr>
        <w:spacing w:line="240" w:lineRule="atLeast"/>
        <w:rPr>
          <w:rFonts w:asciiTheme="minorEastAsia" w:hAnsiTheme="minorEastAsia" w:cstheme="minorEastAsia"/>
          <w:b/>
          <w:sz w:val="32"/>
          <w:szCs w:val="32"/>
        </w:rPr>
      </w:pPr>
    </w:p>
    <w:p>
      <w:pPr>
        <w:spacing w:line="240" w:lineRule="atLeast"/>
        <w:rPr>
          <w:rFonts w:asciiTheme="minorEastAsia" w:hAnsiTheme="minorEastAsia" w:cstheme="minorEastAsia"/>
          <w:b/>
          <w:sz w:val="32"/>
          <w:szCs w:val="32"/>
        </w:rPr>
      </w:pPr>
    </w:p>
    <w:p>
      <w:pPr>
        <w:pStyle w:val="6"/>
        <w:spacing w:line="600" w:lineRule="exact"/>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一、预算单位基本情况</w:t>
      </w:r>
    </w:p>
    <w:p>
      <w:pPr>
        <w:spacing w:before="159" w:line="326" w:lineRule="auto"/>
        <w:ind w:left="100" w:right="260" w:firstLine="640"/>
        <w:rPr>
          <w:rFonts w:asciiTheme="minorEastAsia" w:hAnsiTheme="minorEastAsia" w:cstheme="minorEastAsia"/>
          <w:sz w:val="32"/>
          <w:szCs w:val="32"/>
        </w:rPr>
      </w:pPr>
      <w:r>
        <w:rPr>
          <w:rFonts w:hint="eastAsia" w:asciiTheme="minorEastAsia" w:hAnsiTheme="minorEastAsia" w:cstheme="minorEastAsia"/>
          <w:sz w:val="32"/>
          <w:szCs w:val="32"/>
        </w:rPr>
        <w:t>〈一〉机构组成：</w:t>
      </w:r>
      <w:r>
        <w:rPr>
          <w:rFonts w:hint="eastAsia" w:asciiTheme="minorEastAsia" w:hAnsiTheme="minorEastAsia" w:cstheme="minorEastAsia"/>
          <w:spacing w:val="-7"/>
          <w:sz w:val="32"/>
          <w:szCs w:val="32"/>
        </w:rPr>
        <w:t>攸县文化旅游广电体育局设</w:t>
      </w:r>
      <w:r>
        <w:rPr>
          <w:rFonts w:hint="eastAsia" w:asciiTheme="minorEastAsia" w:hAnsiTheme="minorEastAsia" w:cstheme="minorEastAsia"/>
          <w:sz w:val="32"/>
          <w:szCs w:val="32"/>
        </w:rPr>
        <w:t>6</w:t>
      </w:r>
      <w:r>
        <w:rPr>
          <w:rFonts w:hint="eastAsia" w:asciiTheme="minorEastAsia" w:hAnsiTheme="minorEastAsia" w:cstheme="minorEastAsia"/>
          <w:spacing w:val="-10"/>
          <w:sz w:val="32"/>
          <w:szCs w:val="32"/>
        </w:rPr>
        <w:t>个内设机构包括：办公室、行政审批股、文化艺术股、文化遗产保护股、体育股、旅游股。下设二级机构8个：攸县公共文化服务中心、攸县文化市场综合行政执法大队、</w:t>
      </w:r>
      <w:r>
        <w:rPr>
          <w:rFonts w:hint="eastAsia" w:asciiTheme="minorEastAsia" w:hAnsiTheme="minorEastAsia" w:cstheme="minorEastAsia"/>
          <w:sz w:val="32"/>
          <w:szCs w:val="32"/>
        </w:rPr>
        <w:t>攸县文物局（攸县博物馆、谭震林纪念馆）、攸县花鼓戏保护传承中心、攸县文化馆、攸县图书馆、攸县少年儿童业余体育学校、攸县青少年活动中心。</w:t>
      </w:r>
    </w:p>
    <w:p>
      <w:pPr>
        <w:widowControl/>
        <w:spacing w:after="2"/>
        <w:ind w:firstLine="630"/>
        <w:jc w:val="left"/>
        <w:rPr>
          <w:rFonts w:asciiTheme="minorEastAsia" w:hAnsiTheme="minorEastAsia" w:cstheme="minorEastAsia"/>
          <w:bCs/>
          <w:color w:val="000000"/>
          <w:kern w:val="0"/>
          <w:sz w:val="32"/>
          <w:szCs w:val="32"/>
        </w:rPr>
      </w:pPr>
      <w:r>
        <w:rPr>
          <w:rFonts w:hint="eastAsia" w:asciiTheme="minorEastAsia" w:hAnsiTheme="minorEastAsia" w:cstheme="minorEastAsia"/>
          <w:kern w:val="0"/>
          <w:sz w:val="32"/>
          <w:szCs w:val="32"/>
        </w:rPr>
        <w:t>〈二〉机构职能</w:t>
      </w:r>
      <w:r>
        <w:rPr>
          <w:rFonts w:hint="eastAsia" w:asciiTheme="minorEastAsia" w:hAnsiTheme="minorEastAsia" w:cstheme="minorEastAsia"/>
          <w:bCs/>
          <w:color w:val="000000"/>
          <w:kern w:val="0"/>
          <w:sz w:val="32"/>
          <w:szCs w:val="32"/>
        </w:rPr>
        <w:t>：</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一）贯彻执行党和国家有关文化、旅游、体育、广播电视、体育的方针政策和法律法规；组织拟订并实施全县文化旅游体育广播电视业发展规划、政策措施；负责全县文化旅游、广播电视体育工作人才队伍的建设，加强中青年文化艺术人才的培养，开展技能培训。统筹推进相关产业融合发展，指导推进全县文化、旅游、广播电视、体育领域的体制机制创新。</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二）管理全县性的文化、旅游、广播电视、体育活动，指导全县重点文化、旅游、广播电视、体育基础建设，负责组织全县文化、旅游整体形象宣传推广，促进对外合作和国际市场推广，制定旅游市场开发营销战略并组织实施，指导、推进全域旅游。</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（三）指导全县文化、旅游、广播电视、体育市场发展，负责对全县文化、旅游、广播电视、体育市场经营活动进行行业监管，推进行业信用体系和行业标准化建设，依法规范市场。</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四）负责全县公共文体文化、旅游、广播电视、体育事业发展，推进全县公共文化文化、旅游、广播电视、体育服务体系建设；负责全县公共文化、体育设施监督管理，深入实施相关惠民工程，统筹推进基本公共服务标准化、均等化。</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（五）统筹规划文化、旅游、广播电视、体育产业，组织实施文化和旅游、广播电视、体育资源普查、挖掘、保护和利用工作，促进各门类产业发展工作。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六）指导、推进全县文化、旅游、广播电视、体育与科技创新扫展，推进行业信息化、标准化建设。负责推进广播电视与新媒体、新技术、新业态融合发展，协调推进三网融合。推动智慧文化、旅游、广播电视、体育发展。指导协调广播电视系统安全和保卫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（七）指导全县文化、旅游、广播电视、体育对外及对港澳台交流、合作和宣传、推广工作，组织大型文化、旅游、广播电视、体育对外及对港澳台交流活动。</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（八）指导、管理全县文艺事业，指导艺术创作生产 ，扶持体现社会主义核心价值观，具有导向性、代表性、示范性的文艺作品，推动各门类艺术、各艺术品种发展。</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（九）负责全县非物质文化遗产保护；推动非物质文化遗产发掘、保护、传承、普及、弘扬和振兴。</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负责全县文物保护和考古工作。指导，管理全县文物调查、审报、保护、抢救、维修和利用工作；组织全县考古调查勘探发掘项目及发掘单位和领队人员资格的申报及考古项目的管理；组织国家教研遗址公园的申报；依据《株洲市政工业遗产保护条例》开展全县工业遗产调查、认定、申报、保护和利用工作；协调有关部门开展历史文化名城（镇 、村）和传统村落 的保护和监督管理工作。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（十一）负责全县博物馆、纪念馆和社会文物流通市场工作。负责申报文物商店和文物拍卖公司的设立和注销；负责依法管理社会文物流通市场、负责全县行业博物馆和民办博物馆的申报。</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（十二）指导电视行业发展；监督管理、审查广播电视节目、网络视听节目的内容和质量、指导监督广播电视广告播放。</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（十三）负责广播电视业务指导和行业监管。负责对广播电视节目传输覆盖、监测和安全播出进行监管，指导、推进应急广播体系建设。</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（十四）统筹规划群众体育发展，负责推行全民健身计划，指导全县群众体育活动的开展，协调 区域性体育事业的发展，指导和推动公共服务和体育体制改革；监督实施国家体育锻炼标准，开展国民体制质监测和社会体育指导工作队伍制度建设。负责全县体育彩票的发行管理工作。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五）统筹规划竞技体育发展，研究平衡全县体育竞赛、竞技运动项目的设置和重点布局，组织管理体育训练、体育竞赛、运动员社会保障工作；规划指导和推进青少年体育工作，协调体育后备人才基地建设工作；负责全县青少年竞技体育人才的培训和输送。组织协调监督体育运动中的反兴奋剂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六）负责全县文化市场综合执法工作。组织查处全县性、跨区域文化、文物、新闻出版、广播电视、电影、旅游、体育等市场违行为，督查督办大案要案，维护市场秩序。配合相关部门做好“扫黄打非”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（十七）负责全县文化、旅游、广播电视 、体育领域的行政审批等工作。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（十八）负责全县文化、旅游、广播电视 、体育领域的有关行政复议和行政诉讼应诉工作。</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（十九）承办县委、县人民政府交办的其他事项。</w:t>
      </w:r>
    </w:p>
    <w:p>
      <w:pPr>
        <w:widowControl/>
        <w:spacing w:after="2"/>
        <w:ind w:firstLine="630"/>
        <w:jc w:val="left"/>
        <w:rPr>
          <w:rFonts w:ascii="Tahoma" w:hAnsi="Tahoma" w:eastAsia="Tahoma" w:cs="Tahoma"/>
          <w:color w:val="000000"/>
          <w:sz w:val="18"/>
          <w:szCs w:val="18"/>
        </w:rPr>
      </w:pPr>
      <w:r>
        <w:rPr>
          <w:rFonts w:ascii="宋体" w:hAnsi="宋体" w:eastAsia="宋体" w:cs="宋体"/>
          <w:b/>
          <w:color w:val="000000"/>
          <w:kern w:val="0"/>
          <w:sz w:val="32"/>
          <w:szCs w:val="32"/>
        </w:rPr>
        <w:t>二、机构设置</w:t>
      </w:r>
    </w:p>
    <w:p>
      <w:pPr>
        <w:widowControl/>
        <w:spacing w:after="2"/>
        <w:ind w:firstLine="630"/>
        <w:jc w:val="left"/>
        <w:rPr>
          <w:rFonts w:ascii="Tahoma" w:hAnsi="Tahoma" w:eastAsia="Tahoma" w:cs="Tahoma"/>
          <w:color w:val="000000"/>
          <w:sz w:val="18"/>
          <w:szCs w:val="18"/>
        </w:rPr>
      </w:pPr>
      <w:r>
        <w:rPr>
          <w:rFonts w:ascii="宋体" w:hAnsi="宋体" w:eastAsia="宋体" w:cs="宋体"/>
          <w:color w:val="000000"/>
          <w:kern w:val="0"/>
          <w:sz w:val="32"/>
          <w:szCs w:val="32"/>
        </w:rPr>
        <w:t>攸县文化旅游广电体育局内设机构包括：攸县文化旅游广电体育局现有在职人员127人，离休人员0人，退休人员83人。内设股室6个，分别为：办公室、行政审批股、文化艺术股、文化遗产保护股、体育股、旅游股，下设攸县文化市场综合行政执法大队（副科级单位）、攸县公共文化服务中心2个副科级单位。</w:t>
      </w:r>
    </w:p>
    <w:p>
      <w:pPr>
        <w:widowControl/>
        <w:spacing w:after="2"/>
        <w:ind w:firstLine="627"/>
        <w:jc w:val="left"/>
        <w:rPr>
          <w:rFonts w:ascii="Tahoma" w:hAnsi="Tahoma" w:eastAsia="Tahoma" w:cs="Tahoma"/>
          <w:color w:val="000000"/>
          <w:sz w:val="18"/>
          <w:szCs w:val="18"/>
        </w:rPr>
      </w:pPr>
      <w:r>
        <w:rPr>
          <w:rStyle w:val="14"/>
          <w:rFonts w:ascii="宋体" w:hAnsi="宋体" w:eastAsia="宋体" w:cs="宋体"/>
          <w:color w:val="000000"/>
          <w:kern w:val="0"/>
          <w:sz w:val="32"/>
          <w:szCs w:val="32"/>
        </w:rPr>
        <w:t>三、部门</w:t>
      </w:r>
      <w:r>
        <w:rPr>
          <w:rStyle w:val="14"/>
          <w:rFonts w:hint="eastAsia" w:ascii="宋体" w:hAnsi="宋体" w:eastAsia="宋体" w:cs="宋体"/>
          <w:color w:val="000000"/>
          <w:kern w:val="0"/>
          <w:sz w:val="32"/>
          <w:szCs w:val="32"/>
        </w:rPr>
        <w:t>决</w:t>
      </w:r>
      <w:r>
        <w:rPr>
          <w:rStyle w:val="14"/>
          <w:rFonts w:ascii="宋体" w:hAnsi="宋体" w:eastAsia="宋体" w:cs="宋体"/>
          <w:color w:val="000000"/>
          <w:kern w:val="0"/>
          <w:sz w:val="32"/>
          <w:szCs w:val="32"/>
        </w:rPr>
        <w:t>算单位构成</w:t>
      </w:r>
    </w:p>
    <w:p>
      <w:pPr>
        <w:widowControl/>
        <w:spacing w:after="2"/>
        <w:ind w:firstLine="627"/>
        <w:jc w:val="left"/>
        <w:rPr>
          <w:rFonts w:ascii="Tahoma" w:hAnsi="Tahoma" w:eastAsia="Tahoma" w:cs="Tahoma"/>
          <w:color w:val="000000"/>
          <w:sz w:val="18"/>
          <w:szCs w:val="18"/>
        </w:rPr>
      </w:pPr>
      <w:r>
        <w:rPr>
          <w:rFonts w:ascii="宋体" w:hAnsi="宋体" w:eastAsia="宋体" w:cs="宋体"/>
          <w:color w:val="000000"/>
          <w:kern w:val="0"/>
          <w:sz w:val="32"/>
          <w:szCs w:val="32"/>
        </w:rPr>
        <w:t>本部门</w:t>
      </w:r>
      <w:r>
        <w:rPr>
          <w:rFonts w:hint="eastAsia" w:ascii="宋体" w:hAnsi="宋体" w:eastAsia="宋体" w:cs="宋体"/>
          <w:color w:val="000000"/>
          <w:kern w:val="0"/>
          <w:sz w:val="32"/>
          <w:szCs w:val="32"/>
        </w:rPr>
        <w:t>决</w:t>
      </w:r>
      <w:r>
        <w:rPr>
          <w:rFonts w:ascii="宋体" w:hAnsi="宋体" w:eastAsia="宋体" w:cs="宋体"/>
          <w:color w:val="000000"/>
          <w:kern w:val="0"/>
          <w:sz w:val="32"/>
          <w:szCs w:val="32"/>
        </w:rPr>
        <w:t>算为汇</w:t>
      </w:r>
      <w:r>
        <w:rPr>
          <w:rFonts w:hint="eastAsia" w:ascii="宋体" w:hAnsi="宋体" w:eastAsia="宋体" w:cs="宋体"/>
          <w:color w:val="000000"/>
          <w:kern w:val="0"/>
          <w:sz w:val="32"/>
          <w:szCs w:val="32"/>
        </w:rPr>
        <w:t>总决</w:t>
      </w:r>
      <w:r>
        <w:rPr>
          <w:rFonts w:ascii="宋体" w:hAnsi="宋体" w:eastAsia="宋体" w:cs="宋体"/>
          <w:color w:val="000000"/>
          <w:kern w:val="0"/>
          <w:sz w:val="32"/>
          <w:szCs w:val="32"/>
        </w:rPr>
        <w:t>算，纳入编制范围的</w:t>
      </w:r>
      <w:r>
        <w:rPr>
          <w:rFonts w:hint="eastAsia" w:ascii="宋体" w:hAnsi="宋体" w:eastAsia="宋体" w:cs="宋体"/>
          <w:color w:val="000000"/>
          <w:kern w:val="0"/>
          <w:sz w:val="32"/>
          <w:szCs w:val="32"/>
        </w:rPr>
        <w:t>决</w:t>
      </w:r>
      <w:r>
        <w:rPr>
          <w:rFonts w:ascii="宋体" w:hAnsi="宋体" w:eastAsia="宋体" w:cs="宋体"/>
          <w:color w:val="000000"/>
          <w:kern w:val="0"/>
          <w:sz w:val="32"/>
          <w:szCs w:val="32"/>
        </w:rPr>
        <w:t>算单位包括：1.攸县文化旅游广电体育局部门本级（正科级单位） 2.攸县文化市场综合行政执法大队（副科级单位） 3.攸县公共文化服务中心（副科级单位） 4.攸县文物所（攸县博物馆、谭震林纪念馆） 5.攸县花鼓戏保护传承中心 6.攸县文化馆 7.攸县图书馆 8.攸县少年儿童业余体育学校 9.攸县青少年活动中心</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ab/>
      </w:r>
    </w:p>
    <w:p>
      <w:pPr>
        <w:pStyle w:val="6"/>
        <w:spacing w:line="600" w:lineRule="exact"/>
        <w:ind w:firstLine="640" w:firstLineChars="200"/>
        <w:rPr>
          <w:rFonts w:asciiTheme="minorEastAsia" w:hAnsiTheme="minorEastAsia" w:cstheme="minorEastAsia"/>
          <w:b/>
          <w:bCs/>
          <w:color w:val="000000"/>
          <w:kern w:val="0"/>
          <w:sz w:val="32"/>
          <w:szCs w:val="32"/>
        </w:rPr>
      </w:pPr>
      <w:r>
        <w:rPr>
          <w:rFonts w:hint="eastAsia" w:asciiTheme="minorEastAsia" w:hAnsiTheme="minorEastAsia" w:cstheme="minorEastAsia"/>
          <w:b/>
          <w:bCs/>
          <w:color w:val="000000"/>
          <w:kern w:val="0"/>
          <w:sz w:val="32"/>
          <w:szCs w:val="32"/>
        </w:rPr>
        <w:t>四、决算收支情况</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（一）2021年初预算收入</w:t>
      </w:r>
      <w:r>
        <w:rPr>
          <w:rFonts w:hint="eastAsia" w:asciiTheme="minorEastAsia" w:hAnsiTheme="minorEastAsia" w:cstheme="minorEastAsia"/>
          <w:bCs/>
          <w:color w:val="000000"/>
          <w:kern w:val="0"/>
          <w:sz w:val="32"/>
          <w:szCs w:val="32"/>
          <w:lang w:val="en-US" w:eastAsia="zh-CN"/>
        </w:rPr>
        <w:t>1290</w:t>
      </w:r>
      <w:r>
        <w:rPr>
          <w:rFonts w:hint="eastAsia" w:asciiTheme="minorEastAsia" w:hAnsiTheme="minorEastAsia" w:cstheme="minorEastAsia"/>
          <w:bCs/>
          <w:color w:val="000000"/>
          <w:kern w:val="0"/>
          <w:sz w:val="32"/>
          <w:szCs w:val="32"/>
        </w:rPr>
        <w:t>万元，部门预算支出</w:t>
      </w:r>
      <w:r>
        <w:rPr>
          <w:rFonts w:hint="eastAsia" w:asciiTheme="minorEastAsia" w:hAnsiTheme="minorEastAsia" w:cstheme="minorEastAsia"/>
          <w:bCs/>
          <w:color w:val="000000"/>
          <w:kern w:val="0"/>
          <w:sz w:val="32"/>
          <w:szCs w:val="32"/>
          <w:lang w:val="en-US" w:eastAsia="zh-CN"/>
        </w:rPr>
        <w:t>1290</w:t>
      </w:r>
      <w:r>
        <w:rPr>
          <w:rFonts w:hint="eastAsia" w:asciiTheme="minorEastAsia" w:hAnsiTheme="minorEastAsia" w:cstheme="minorEastAsia"/>
          <w:bCs/>
          <w:color w:val="000000"/>
          <w:kern w:val="0"/>
          <w:sz w:val="32"/>
          <w:szCs w:val="32"/>
        </w:rPr>
        <w:t>万元。</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（二）2021年度单位总收入</w:t>
      </w:r>
      <w:r>
        <w:rPr>
          <w:rFonts w:hint="eastAsia" w:asciiTheme="minorEastAsia" w:hAnsiTheme="minorEastAsia" w:cstheme="minorEastAsia"/>
          <w:bCs/>
          <w:color w:val="000000"/>
          <w:kern w:val="0"/>
          <w:sz w:val="32"/>
          <w:szCs w:val="32"/>
          <w:lang w:val="en-US" w:eastAsia="zh-CN"/>
        </w:rPr>
        <w:t>3031.95</w:t>
      </w:r>
      <w:r>
        <w:rPr>
          <w:rFonts w:hint="eastAsia" w:asciiTheme="minorEastAsia" w:hAnsiTheme="minorEastAsia" w:cstheme="minorEastAsia"/>
          <w:bCs/>
          <w:color w:val="000000"/>
          <w:kern w:val="0"/>
          <w:sz w:val="32"/>
          <w:szCs w:val="32"/>
        </w:rPr>
        <w:t>万元，其中财政拨款</w:t>
      </w:r>
      <w:r>
        <w:rPr>
          <w:rFonts w:hint="eastAsia" w:asciiTheme="minorEastAsia" w:hAnsiTheme="minorEastAsia" w:cstheme="minorEastAsia"/>
          <w:bCs/>
          <w:color w:val="000000"/>
          <w:kern w:val="0"/>
          <w:sz w:val="32"/>
          <w:szCs w:val="32"/>
          <w:lang w:val="en-US" w:eastAsia="zh-CN"/>
        </w:rPr>
        <w:t>3031.95</w:t>
      </w:r>
      <w:r>
        <w:rPr>
          <w:rFonts w:hint="eastAsia" w:asciiTheme="minorEastAsia" w:hAnsiTheme="minorEastAsia" w:cstheme="minorEastAsia"/>
          <w:bCs/>
          <w:color w:val="000000"/>
          <w:kern w:val="0"/>
          <w:sz w:val="32"/>
          <w:szCs w:val="32"/>
        </w:rPr>
        <w:t>万元。</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（三）2021年度单位总支出</w:t>
      </w:r>
      <w:r>
        <w:rPr>
          <w:rFonts w:hint="eastAsia" w:asciiTheme="minorEastAsia" w:hAnsiTheme="minorEastAsia" w:cstheme="minorEastAsia"/>
          <w:bCs/>
          <w:color w:val="000000"/>
          <w:kern w:val="0"/>
          <w:sz w:val="32"/>
          <w:szCs w:val="32"/>
          <w:lang w:val="en-US" w:eastAsia="zh-CN"/>
        </w:rPr>
        <w:t>3031.95</w:t>
      </w:r>
      <w:r>
        <w:rPr>
          <w:rFonts w:hint="eastAsia" w:asciiTheme="minorEastAsia" w:hAnsiTheme="minorEastAsia" w:cstheme="minorEastAsia"/>
          <w:bCs/>
          <w:color w:val="000000"/>
          <w:kern w:val="0"/>
          <w:sz w:val="32"/>
          <w:szCs w:val="32"/>
        </w:rPr>
        <w:t>万元，其中基本支出</w:t>
      </w:r>
      <w:r>
        <w:rPr>
          <w:rFonts w:hint="eastAsia" w:asciiTheme="minorEastAsia" w:hAnsiTheme="minorEastAsia" w:cstheme="minorEastAsia"/>
          <w:bCs/>
          <w:color w:val="000000"/>
          <w:kern w:val="0"/>
          <w:sz w:val="32"/>
          <w:szCs w:val="32"/>
          <w:lang w:val="en-US" w:eastAsia="zh-CN"/>
        </w:rPr>
        <w:t>2971.04</w:t>
      </w:r>
      <w:r>
        <w:rPr>
          <w:rFonts w:hint="eastAsia" w:asciiTheme="minorEastAsia" w:hAnsiTheme="minorEastAsia" w:cstheme="minorEastAsia"/>
          <w:bCs/>
          <w:color w:val="000000"/>
          <w:kern w:val="0"/>
          <w:sz w:val="32"/>
          <w:szCs w:val="32"/>
        </w:rPr>
        <w:t>万元，项目支出</w:t>
      </w:r>
      <w:r>
        <w:rPr>
          <w:rFonts w:hint="eastAsia" w:asciiTheme="minorEastAsia" w:hAnsiTheme="minorEastAsia" w:cstheme="minorEastAsia"/>
          <w:bCs/>
          <w:color w:val="000000"/>
          <w:kern w:val="0"/>
          <w:sz w:val="32"/>
          <w:szCs w:val="32"/>
          <w:lang w:val="en-US" w:eastAsia="zh-CN"/>
        </w:rPr>
        <w:t>60.91</w:t>
      </w:r>
      <w:r>
        <w:rPr>
          <w:rFonts w:hint="eastAsia" w:asciiTheme="minorEastAsia" w:hAnsiTheme="minorEastAsia" w:cstheme="minorEastAsia"/>
          <w:bCs/>
          <w:color w:val="000000"/>
          <w:kern w:val="0"/>
          <w:sz w:val="32"/>
          <w:szCs w:val="32"/>
        </w:rPr>
        <w:t>万元。</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基本支出包括人员支出</w:t>
      </w:r>
      <w:r>
        <w:rPr>
          <w:rFonts w:hint="eastAsia" w:asciiTheme="minorEastAsia" w:hAnsiTheme="minorEastAsia" w:cstheme="minorEastAsia"/>
          <w:bCs/>
          <w:color w:val="000000"/>
          <w:kern w:val="0"/>
          <w:sz w:val="32"/>
          <w:szCs w:val="32"/>
          <w:lang w:val="en-US" w:eastAsia="zh-CN"/>
        </w:rPr>
        <w:t>1521.56</w:t>
      </w:r>
      <w:r>
        <w:rPr>
          <w:rFonts w:hint="eastAsia" w:asciiTheme="minorEastAsia" w:hAnsiTheme="minorEastAsia" w:cstheme="minorEastAsia"/>
          <w:bCs/>
          <w:color w:val="000000"/>
          <w:kern w:val="0"/>
          <w:sz w:val="32"/>
          <w:szCs w:val="32"/>
        </w:rPr>
        <w:t>万元，公用支出</w:t>
      </w:r>
      <w:r>
        <w:rPr>
          <w:rFonts w:hint="eastAsia" w:asciiTheme="minorEastAsia" w:hAnsiTheme="minorEastAsia" w:cstheme="minorEastAsia"/>
          <w:bCs/>
          <w:color w:val="000000"/>
          <w:kern w:val="0"/>
          <w:sz w:val="32"/>
          <w:szCs w:val="32"/>
          <w:lang w:val="en-US" w:eastAsia="zh-CN"/>
        </w:rPr>
        <w:t>921.22</w:t>
      </w:r>
      <w:r>
        <w:rPr>
          <w:rFonts w:hint="eastAsia" w:asciiTheme="minorEastAsia" w:hAnsiTheme="minorEastAsia" w:cstheme="minorEastAsia"/>
          <w:bCs/>
          <w:color w:val="000000"/>
          <w:kern w:val="0"/>
          <w:sz w:val="32"/>
          <w:szCs w:val="32"/>
        </w:rPr>
        <w:t>万元。202</w:t>
      </w:r>
      <w:r>
        <w:rPr>
          <w:rFonts w:hint="eastAsia" w:asciiTheme="minorEastAsia" w:hAnsiTheme="minorEastAsia" w:cstheme="minorEastAsia"/>
          <w:bCs/>
          <w:color w:val="000000"/>
          <w:kern w:val="0"/>
          <w:sz w:val="32"/>
          <w:szCs w:val="32"/>
          <w:lang w:val="en-US" w:eastAsia="zh-CN"/>
        </w:rPr>
        <w:t>1</w:t>
      </w:r>
      <w:r>
        <w:rPr>
          <w:rFonts w:hint="eastAsia" w:asciiTheme="minorEastAsia" w:hAnsiTheme="minorEastAsia" w:cstheme="minorEastAsia"/>
          <w:bCs/>
          <w:color w:val="000000"/>
          <w:kern w:val="0"/>
          <w:sz w:val="32"/>
          <w:szCs w:val="32"/>
        </w:rPr>
        <w:t>年本单位“三公”经费支出</w:t>
      </w:r>
      <w:r>
        <w:rPr>
          <w:rFonts w:hint="eastAsia" w:asciiTheme="minorEastAsia" w:hAnsiTheme="minorEastAsia" w:cstheme="minorEastAsia"/>
          <w:bCs/>
          <w:color w:val="000000"/>
          <w:kern w:val="0"/>
          <w:sz w:val="32"/>
          <w:szCs w:val="32"/>
          <w:lang w:val="en-US" w:eastAsia="zh-CN"/>
        </w:rPr>
        <w:t>23.09</w:t>
      </w:r>
      <w:r>
        <w:rPr>
          <w:rFonts w:hint="eastAsia" w:asciiTheme="minorEastAsia" w:hAnsiTheme="minorEastAsia" w:cstheme="minorEastAsia"/>
          <w:bCs/>
          <w:color w:val="000000"/>
          <w:kern w:val="0"/>
          <w:sz w:val="32"/>
          <w:szCs w:val="32"/>
        </w:rPr>
        <w:t>元，其中：公务接待费</w:t>
      </w:r>
      <w:r>
        <w:rPr>
          <w:rFonts w:hint="eastAsia" w:asciiTheme="minorEastAsia" w:hAnsiTheme="minorEastAsia" w:cstheme="minorEastAsia"/>
          <w:bCs/>
          <w:color w:val="000000"/>
          <w:kern w:val="0"/>
          <w:sz w:val="32"/>
          <w:szCs w:val="32"/>
          <w:lang w:val="en-US" w:eastAsia="zh-CN"/>
        </w:rPr>
        <w:t>8.09</w:t>
      </w:r>
      <w:r>
        <w:rPr>
          <w:rFonts w:hint="eastAsia" w:asciiTheme="minorEastAsia" w:hAnsiTheme="minorEastAsia" w:cstheme="minorEastAsia"/>
          <w:bCs/>
          <w:color w:val="000000"/>
          <w:kern w:val="0"/>
          <w:sz w:val="32"/>
          <w:szCs w:val="32"/>
        </w:rPr>
        <w:t xml:space="preserve">万元，因公出国费 0万元，公务用车购置费0万元，公务用车运行维护费 </w:t>
      </w:r>
      <w:r>
        <w:rPr>
          <w:rFonts w:hint="eastAsia" w:asciiTheme="minorEastAsia" w:hAnsiTheme="minorEastAsia" w:cstheme="minorEastAsia"/>
          <w:bCs/>
          <w:color w:val="000000"/>
          <w:kern w:val="0"/>
          <w:sz w:val="32"/>
          <w:szCs w:val="32"/>
          <w:lang w:val="en-US" w:eastAsia="zh-CN"/>
        </w:rPr>
        <w:t>15</w:t>
      </w:r>
      <w:r>
        <w:rPr>
          <w:rFonts w:hint="eastAsia" w:asciiTheme="minorEastAsia" w:hAnsiTheme="minorEastAsia" w:cstheme="minorEastAsia"/>
          <w:bCs/>
          <w:color w:val="000000"/>
          <w:kern w:val="0"/>
          <w:sz w:val="32"/>
          <w:szCs w:val="32"/>
        </w:rPr>
        <w:t>万元。</w:t>
      </w:r>
    </w:p>
    <w:p>
      <w:pPr>
        <w:pStyle w:val="6"/>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项目支出主要为完成特定行政工作任务或事业发展目标而发生的支出。2021年项目支出</w:t>
      </w:r>
      <w:r>
        <w:rPr>
          <w:rFonts w:hint="eastAsia" w:asciiTheme="minorEastAsia" w:hAnsiTheme="minorEastAsia" w:cstheme="minorEastAsia"/>
          <w:bCs/>
          <w:color w:val="000000"/>
          <w:kern w:val="0"/>
          <w:sz w:val="32"/>
          <w:szCs w:val="32"/>
          <w:lang w:val="en-US" w:eastAsia="zh-CN"/>
        </w:rPr>
        <w:t>206.</w:t>
      </w:r>
      <w:bookmarkStart w:id="0" w:name="_GoBack"/>
      <w:bookmarkEnd w:id="0"/>
      <w:r>
        <w:rPr>
          <w:rFonts w:hint="eastAsia" w:asciiTheme="minorEastAsia" w:hAnsiTheme="minorEastAsia" w:cstheme="minorEastAsia"/>
          <w:bCs/>
          <w:color w:val="000000"/>
          <w:kern w:val="0"/>
          <w:sz w:val="32"/>
          <w:szCs w:val="32"/>
        </w:rPr>
        <w:t>万元，主要体育彩票公益金，发展体育公共设施，场馆维护，及开放资金。</w:t>
      </w:r>
    </w:p>
    <w:p>
      <w:pPr>
        <w:pStyle w:val="6"/>
        <w:spacing w:line="600" w:lineRule="exact"/>
        <w:ind w:firstLine="640" w:firstLineChars="200"/>
        <w:rPr>
          <w:rFonts w:asciiTheme="minorEastAsia" w:hAnsiTheme="minorEastAsia" w:cstheme="minorEastAsia"/>
          <w:b/>
          <w:bCs/>
          <w:color w:val="000000"/>
          <w:kern w:val="0"/>
          <w:sz w:val="32"/>
          <w:szCs w:val="32"/>
        </w:rPr>
      </w:pPr>
      <w:r>
        <w:rPr>
          <w:rFonts w:hint="eastAsia" w:asciiTheme="minorEastAsia" w:hAnsiTheme="minorEastAsia" w:cstheme="minorEastAsia"/>
          <w:b/>
          <w:bCs/>
          <w:color w:val="000000"/>
          <w:kern w:val="0"/>
          <w:sz w:val="32"/>
          <w:szCs w:val="32"/>
        </w:rPr>
        <w:t>五、工作开展情况</w:t>
      </w:r>
    </w:p>
    <w:p>
      <w:pPr>
        <w:adjustRightInd w:val="0"/>
        <w:spacing w:line="600" w:lineRule="exact"/>
        <w:ind w:firstLine="640" w:firstLineChars="200"/>
        <w:jc w:val="left"/>
        <w:textAlignment w:val="baseline"/>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2021年，我们乘风破浪、硕果累累：</w:t>
      </w:r>
    </w:p>
    <w:p>
      <w:pPr>
        <w:adjustRightInd w:val="0"/>
        <w:spacing w:line="600" w:lineRule="exact"/>
        <w:ind w:firstLine="640" w:firstLineChars="200"/>
        <w:jc w:val="left"/>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2021年，全局上下认真贯彻中央、省市县有关精神，不断攻艰克难，高质量地完成了全年工作，并取得了良好的成绩。2021年“门前三小”经验做法被中央改革办《改革情况交流》推介，县文旅广体局荣获全国群众体育工作先进单位、湖南省非物质文化遗产保护先进集体、市文明标兵单位等荣誉称号,获评2021年全省文化和旅游真抓实干督查激励奖励对象。这些成绩的取得，得益于县委县政府的正确领导，得益于大家的共同努力。下面我就这一年的工作做简要回顾：</w:t>
      </w:r>
    </w:p>
    <w:p>
      <w:pPr>
        <w:adjustRightInd w:val="0"/>
        <w:spacing w:line="600" w:lineRule="exact"/>
        <w:ind w:firstLine="643"/>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1.这一年，多措并举抓好了一个学习。自党史学习教育开展以来，系统上下将党史学习教育作为一项重大政治任务抓紧、抓实、抓好。开展“我为群众办实事”实践活动近300场，县花鼓戏保护传承中心与组织部联排大型党课舞台讲演剧《红星照攸州》，将攸县本土的红色人物、红色故事搬上舞台，深受全县人民的喜爱。</w:t>
      </w:r>
    </w:p>
    <w:p>
      <w:pPr>
        <w:adjustRightInd w:val="0"/>
        <w:spacing w:line="600" w:lineRule="exact"/>
        <w:ind w:firstLine="643"/>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2.这一年，全力以赴办好了两大活动。一是承办了2021湖南省红色旅游文化节。为喜迎建党百年，助推韶山至井冈山红色旅游铁路开通，7月9日，在攸县文化广场成功举办了“伟人故里·红色湘赣·魅力攸县”2021湖南红色旅游文化节，节会集中展示攸县的红色资源、秀美风光、乡土人情、民风民俗和特色产业。二是组织了全县干部职工大合唱活动。高规格承办了“幸福攸州、颂歌向党”庆祝建党100周年大合唱比赛，活动分初赛、决赛两个阶段，全县94个单位4500余人组成66支队伍参加大合唱比赛。选手们以饱满的热情，唱出了全县上下勠力同心、拼搏实干的精神风貌。</w:t>
      </w:r>
    </w:p>
    <w:p>
      <w:pPr>
        <w:adjustRightInd w:val="0"/>
        <w:spacing w:line="600" w:lineRule="exact"/>
        <w:ind w:firstLine="643"/>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3.这一年，攻坚克难推进了三块重点工作。即文化、旅游、体育三块重点工作，积极寻找“文化+旅游+体育”工作的最大公约数、最佳连接点，实现资源共享、优势互补、协同并进。一是大力推动公共文化服务体系建设。主要体现在三个方面：1、“门前三小”金字招牌继续得到了擦亮。2021年共建成“门前三小”文化服务点205个（普通点179个、示范点21个、样本点5个），完成率达100%。2、公共场馆免费开放工作继续得到了深化。图书馆接待读者50万余人次；博物馆（含石山书院、文昌阁）接待观众5.2万人次，接待团体单位132批次；青少年活动中心2021年开设了春季、暑期四个低收费培训项目，吸收培训学生505人，在鸾山皮佳等地开展了“温情暖山水•艺体乐乡边”文化志愿服务活动4次，参与人数近3000人，取得了良好的社会效果，并成功向文旅部申报为文化志愿服务示范项目；花鼓戏保护传承中心开展送戏下乡180场；文化馆组织文旅志愿者开展“文艺轻骑兵”送活动、送培训进“屋场”100余场，联合县人才办开展了攸县首届“攸州产业工匠”之“豆腐宴烹饪”大赛、导游（讲解员）大赛等技能型大赛。3、公共文化服务形式创新力度继续得到了加大。县图书馆依托网络平台定期推送“好（新）书推荐”“党史上的今天”等主题推文近500篇，文化馆开展了“人人当网红、个个直录播”“窝里的大师傅”直录播15场，网上观众近10万人。二是大力推进旅游产业发展。坚持“以文塑旅、以旅彰文”，统筹推进全域旅游纵深发展。国庆前夕，在酒仙湖景区成功举办了株洲市秋季乡村文化旅游节，助力旅游市场回暖。据统计，2021年全县共接待旅游人数441.72万人次，旅游总人数65.52亿元。三是大力推进全民健身战略。高规格开展了“穿越湘赣边”百日万步行职工健走活动、“乡村振兴杯”第九届职工羽毛球赛等活动，大力倡导全民健身健康理念。在2021年株洲市第十四届运动会青少年组比赛中，攸县代表队斩获83枚金牌，团体总分位居株洲市第一。2021年湖南省皮划艇、赛艇、激流回旋皮划艇锦标赛中，攸县共斩获金牌17枚、银牌15枚、铜牌16枚，金牌总数和团体总分均在湖南省排名第一。</w:t>
      </w:r>
    </w:p>
    <w:p>
      <w:pPr>
        <w:pStyle w:val="27"/>
        <w:adjustRightInd w:val="0"/>
        <w:spacing w:line="600" w:lineRule="exact"/>
        <w:ind w:firstLine="640" w:firstLineChars="200"/>
        <w:rPr>
          <w:rFonts w:asciiTheme="minorEastAsia" w:hAnsiTheme="minorEastAsia" w:eastAsiaTheme="minorEastAsia" w:cstheme="minorEastAsia"/>
          <w:bCs/>
          <w:color w:val="000000"/>
          <w:kern w:val="0"/>
          <w:sz w:val="32"/>
          <w:szCs w:val="32"/>
        </w:rPr>
      </w:pPr>
      <w:r>
        <w:rPr>
          <w:rFonts w:hint="eastAsia" w:asciiTheme="minorEastAsia" w:hAnsiTheme="minorEastAsia" w:eastAsiaTheme="minorEastAsia" w:cstheme="minorEastAsia"/>
          <w:bCs/>
          <w:color w:val="000000"/>
          <w:kern w:val="0"/>
          <w:sz w:val="32"/>
          <w:szCs w:val="32"/>
        </w:rPr>
        <w:t>4.这一年，守正创新实现了四个提升。一是文艺精品创作有提升。将民间舞蹈《打钱花》音乐重新配器、编排舞蹈动作,吸引更多年轻群体参与传统舞蹈学习；重新编排了谭震林《悠悠赤子心》《柑子树上打百花》等经典剧目。二是文化遗产保护有提升。成功将北伐战争渌田战场遗址、网岭里旺古城遗址等6处文保单位申报为第十一批省级文物保护单位，从而使我县的省级文物保护单位数量增至19处，居全市领先地位。完成了谭震林生平业绩陈列馆的红色旅游项目申报，争取省厅项目资金90万元；南岸列宁室、蔡会文故居的项目计划书分别获国家文物局和省文物局审批同意，完成了蔡会文故居的修缮方案编制工作；协助市考古队完成了网岭里旺古城和枫树塘的地下文物调查考古发掘工作，完成了北伐首战首捷攸县渌田学术讨论会的筹备及布置工作；“攸县古法酿酒”“攸县阿胶熬制技术”“农民教拳术”“打钱花”“攸县艾叶斋”“攸县火焙茶叶”6个项目成功申报为市级第八批非遗保护项目；“攸县豆腐”成功申报为湖南省级非遗保护项目。三是文旅广体市场管理有提升。全年，文化市场巡查共出动执法人员2812人次，检查经营单位1131家次，开展专项整治行动10次，立案调查4起，结案4起，下达责令整改通知书22家次，依法取缔1家，责令停业整改2家，处理举报电话投诉14起，处理县长信箱投诉 23起。四是人才队伍建设有提升。组织开展了“攸县文艺骨干/文艺爱好者技能提升培训”“青年大讲堂”等针对性强的高品质培训，不断提升文旅广体各战线人才的专业能力。组织党员干部观看爱国教育电影、唱红歌比赛等活动提升党员干部政治素养。</w:t>
      </w:r>
    </w:p>
    <w:p>
      <w:pPr>
        <w:pStyle w:val="27"/>
        <w:adjustRightInd w:val="0"/>
        <w:spacing w:line="600" w:lineRule="exact"/>
        <w:ind w:firstLine="640" w:firstLineChars="200"/>
        <w:rPr>
          <w:rFonts w:asciiTheme="minorEastAsia" w:hAnsiTheme="minorEastAsia" w:eastAsiaTheme="minorEastAsia" w:cstheme="minorEastAsia"/>
          <w:bCs/>
          <w:color w:val="000000"/>
          <w:kern w:val="0"/>
          <w:sz w:val="32"/>
          <w:szCs w:val="32"/>
        </w:rPr>
      </w:pPr>
      <w:r>
        <w:rPr>
          <w:rFonts w:hint="eastAsia" w:asciiTheme="minorEastAsia" w:hAnsiTheme="minorEastAsia" w:eastAsiaTheme="minorEastAsia" w:cstheme="minorEastAsia"/>
          <w:bCs/>
          <w:color w:val="000000"/>
          <w:kern w:val="0"/>
          <w:sz w:val="32"/>
          <w:szCs w:val="32"/>
        </w:rPr>
        <w:t>当然，在过去一年的工作中，也存在一些问题和不足。</w:t>
      </w:r>
    </w:p>
    <w:p>
      <w:pPr>
        <w:pStyle w:val="27"/>
        <w:adjustRightInd w:val="0"/>
        <w:spacing w:line="600" w:lineRule="exact"/>
        <w:rPr>
          <w:rFonts w:asciiTheme="minorEastAsia" w:hAnsiTheme="minorEastAsia" w:eastAsiaTheme="minorEastAsia" w:cstheme="minorEastAsia"/>
          <w:bCs/>
          <w:color w:val="000000"/>
          <w:kern w:val="0"/>
          <w:sz w:val="32"/>
          <w:szCs w:val="32"/>
        </w:rPr>
      </w:pPr>
      <w:r>
        <w:rPr>
          <w:rFonts w:hint="eastAsia" w:asciiTheme="minorEastAsia" w:hAnsiTheme="minorEastAsia" w:eastAsiaTheme="minorEastAsia" w:cstheme="minorEastAsia"/>
          <w:bCs/>
          <w:color w:val="000000"/>
          <w:kern w:val="0"/>
          <w:sz w:val="32"/>
          <w:szCs w:val="32"/>
        </w:rPr>
        <w:t>主要体现在：一是站位还不够高。仍有少数工作人员站位不高，本位主义思想严重，工作中不敢担当、不善作为情况时有发生。二是学习还不够实。毛主席同志曾开玩笑说:“三天不学习，赶不上刘少奇”，学习是一个长期坚持的过程，需要大家持之以恒、久久为功。三是融合还不够深。我县有</w:t>
      </w:r>
      <w:r>
        <w:rPr>
          <w:rFonts w:asciiTheme="minorEastAsia" w:hAnsiTheme="minorEastAsia" w:eastAsiaTheme="minorEastAsia" w:cstheme="minorEastAsia"/>
          <w:bCs/>
          <w:color w:val="000000"/>
          <w:kern w:val="0"/>
          <w:sz w:val="32"/>
          <w:szCs w:val="32"/>
        </w:rPr>
        <w:t>湖</w:t>
      </w:r>
      <w:r>
        <w:rPr>
          <w:rFonts w:hint="eastAsia" w:asciiTheme="minorEastAsia" w:hAnsiTheme="minorEastAsia" w:eastAsiaTheme="minorEastAsia" w:cstheme="minorEastAsia"/>
          <w:bCs/>
          <w:color w:val="000000"/>
          <w:kern w:val="0"/>
          <w:sz w:val="32"/>
          <w:szCs w:val="32"/>
        </w:rPr>
        <w:t>有</w:t>
      </w:r>
      <w:r>
        <w:rPr>
          <w:rFonts w:asciiTheme="minorEastAsia" w:hAnsiTheme="minorEastAsia" w:eastAsiaTheme="minorEastAsia" w:cstheme="minorEastAsia"/>
          <w:bCs/>
          <w:color w:val="000000"/>
          <w:kern w:val="0"/>
          <w:sz w:val="32"/>
          <w:szCs w:val="32"/>
        </w:rPr>
        <w:t>山</w:t>
      </w:r>
      <w:r>
        <w:rPr>
          <w:rFonts w:hint="eastAsia" w:asciiTheme="minorEastAsia" w:hAnsiTheme="minorEastAsia" w:eastAsiaTheme="minorEastAsia" w:cstheme="minorEastAsia"/>
          <w:bCs/>
          <w:color w:val="000000"/>
          <w:kern w:val="0"/>
          <w:sz w:val="32"/>
          <w:szCs w:val="32"/>
        </w:rPr>
        <w:t>有</w:t>
      </w:r>
      <w:r>
        <w:rPr>
          <w:rFonts w:asciiTheme="minorEastAsia" w:hAnsiTheme="minorEastAsia" w:eastAsiaTheme="minorEastAsia" w:cstheme="minorEastAsia"/>
          <w:bCs/>
          <w:color w:val="000000"/>
          <w:kern w:val="0"/>
          <w:sz w:val="32"/>
          <w:szCs w:val="32"/>
        </w:rPr>
        <w:t>溶洞，</w:t>
      </w:r>
      <w:r>
        <w:rPr>
          <w:rFonts w:hint="eastAsia" w:asciiTheme="minorEastAsia" w:hAnsiTheme="minorEastAsia" w:eastAsiaTheme="minorEastAsia" w:cstheme="minorEastAsia"/>
          <w:bCs/>
          <w:color w:val="000000"/>
          <w:kern w:val="0"/>
          <w:sz w:val="32"/>
          <w:szCs w:val="32"/>
        </w:rPr>
        <w:t>有</w:t>
      </w:r>
      <w:r>
        <w:rPr>
          <w:rFonts w:asciiTheme="minorEastAsia" w:hAnsiTheme="minorEastAsia" w:eastAsiaTheme="minorEastAsia" w:cstheme="minorEastAsia"/>
          <w:bCs/>
          <w:color w:val="000000"/>
          <w:kern w:val="0"/>
          <w:sz w:val="32"/>
          <w:szCs w:val="32"/>
        </w:rPr>
        <w:t>树</w:t>
      </w:r>
      <w:r>
        <w:rPr>
          <w:rFonts w:hint="eastAsia" w:asciiTheme="minorEastAsia" w:hAnsiTheme="minorEastAsia" w:eastAsiaTheme="minorEastAsia" w:cstheme="minorEastAsia"/>
          <w:bCs/>
          <w:color w:val="000000"/>
          <w:kern w:val="0"/>
          <w:sz w:val="32"/>
          <w:szCs w:val="32"/>
        </w:rPr>
        <w:t>有</w:t>
      </w:r>
      <w:r>
        <w:rPr>
          <w:rFonts w:asciiTheme="minorEastAsia" w:hAnsiTheme="minorEastAsia" w:eastAsiaTheme="minorEastAsia" w:cstheme="minorEastAsia"/>
          <w:bCs/>
          <w:color w:val="000000"/>
          <w:kern w:val="0"/>
          <w:sz w:val="32"/>
          <w:szCs w:val="32"/>
        </w:rPr>
        <w:t>泉</w:t>
      </w:r>
      <w:r>
        <w:rPr>
          <w:rFonts w:hint="eastAsia" w:asciiTheme="minorEastAsia" w:hAnsiTheme="minorEastAsia" w:eastAsiaTheme="minorEastAsia" w:cstheme="minorEastAsia"/>
          <w:bCs/>
          <w:color w:val="000000"/>
          <w:kern w:val="0"/>
          <w:sz w:val="32"/>
          <w:szCs w:val="32"/>
        </w:rPr>
        <w:t>有</w:t>
      </w:r>
      <w:r>
        <w:rPr>
          <w:rFonts w:asciiTheme="minorEastAsia" w:hAnsiTheme="minorEastAsia" w:eastAsiaTheme="minorEastAsia" w:cstheme="minorEastAsia"/>
          <w:bCs/>
          <w:color w:val="000000"/>
          <w:kern w:val="0"/>
          <w:sz w:val="32"/>
          <w:szCs w:val="32"/>
        </w:rPr>
        <w:t>峡谷</w:t>
      </w:r>
      <w:r>
        <w:rPr>
          <w:rFonts w:hint="eastAsia" w:asciiTheme="minorEastAsia" w:hAnsiTheme="minorEastAsia" w:eastAsiaTheme="minorEastAsia" w:cstheme="minorEastAsia"/>
          <w:bCs/>
          <w:color w:val="000000"/>
          <w:kern w:val="0"/>
          <w:sz w:val="32"/>
          <w:szCs w:val="32"/>
        </w:rPr>
        <w:t>，还有红色文化、饮食文化、民宿文化等资源，受疫情、历史遗留问题等因素影响，景区（景点）开发步伐缓慢，“文化+旅游+体育”融合发展受限。</w:t>
      </w:r>
    </w:p>
    <w:p>
      <w:pPr>
        <w:pStyle w:val="27"/>
        <w:adjustRightInd w:val="0"/>
        <w:spacing w:line="600" w:lineRule="exact"/>
        <w:rPr>
          <w:rFonts w:asciiTheme="minorEastAsia" w:hAnsiTheme="minorEastAsia" w:eastAsiaTheme="minorEastAsia" w:cstheme="minorEastAsia"/>
          <w:bCs/>
          <w:color w:val="000000"/>
          <w:kern w:val="0"/>
          <w:sz w:val="32"/>
          <w:szCs w:val="32"/>
        </w:rPr>
      </w:pPr>
      <w:r>
        <w:rPr>
          <w:rFonts w:hint="eastAsia" w:asciiTheme="minorEastAsia" w:hAnsiTheme="minorEastAsia" w:eastAsiaTheme="minorEastAsia" w:cstheme="minorEastAsia"/>
          <w:bCs/>
          <w:color w:val="000000"/>
          <w:kern w:val="0"/>
          <w:sz w:val="32"/>
          <w:szCs w:val="32"/>
        </w:rPr>
        <w:t>四是作风还不够严谨。我们的工作很平凡，好多人是一辈子都在一岗位，做一件事，因此有些人成为了系统内专家,成为了非常精通的人。但工作时间久了，没有新鲜事物出现，会有一种厌倦情绪，甚至有时抱有应付了事的态度，没有做到脚踏实地，日常工作中总喜欢找捷径，不愿仔细去思考、去琢磨怎么把事办得更好更圆满，得过且过。日常工作中不请示不报告，搞“先斩后奏”、“斩而不奏”，挑肥拣瘦、迟到早退等现象任然存在。</w:t>
      </w:r>
    </w:p>
    <w:p>
      <w:pPr>
        <w:spacing w:line="600" w:lineRule="exact"/>
        <w:ind w:left="640"/>
        <w:rPr>
          <w:rFonts w:asciiTheme="minorEastAsia" w:hAnsiTheme="minorEastAsia" w:cstheme="minorEastAsia"/>
          <w:b/>
          <w:bCs/>
          <w:color w:val="000000"/>
          <w:kern w:val="0"/>
          <w:sz w:val="32"/>
          <w:szCs w:val="32"/>
        </w:rPr>
      </w:pPr>
      <w:r>
        <w:rPr>
          <w:rFonts w:hint="eastAsia" w:asciiTheme="minorEastAsia" w:hAnsiTheme="minorEastAsia" w:cstheme="minorEastAsia"/>
          <w:b/>
          <w:bCs/>
          <w:color w:val="000000"/>
          <w:kern w:val="0"/>
          <w:sz w:val="32"/>
          <w:szCs w:val="32"/>
        </w:rPr>
        <w:t>六、评价结论及建议</w:t>
      </w:r>
    </w:p>
    <w:p>
      <w:pPr>
        <w:spacing w:line="600" w:lineRule="exact"/>
        <w:ind w:left="220" w:firstLine="320" w:firstLineChars="1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（一）评价结论：部门整体支出绩效总体良好，各项目标基本达到相应时期执行进度。</w:t>
      </w:r>
    </w:p>
    <w:p>
      <w:pPr>
        <w:spacing w:line="600" w:lineRule="exact"/>
        <w:ind w:left="64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（二）存在问题：预算编制不够细化。</w:t>
      </w:r>
    </w:p>
    <w:p>
      <w:pPr>
        <w:spacing w:line="600" w:lineRule="exact"/>
        <w:ind w:firstLine="640" w:firstLineChars="200"/>
        <w:rPr>
          <w:rFonts w:asciiTheme="minorEastAsia" w:hAnsiTheme="minorEastAsia" w:cstheme="minorEastAsia"/>
          <w:bCs/>
          <w:color w:val="000000"/>
          <w:kern w:val="0"/>
          <w:sz w:val="32"/>
          <w:szCs w:val="32"/>
        </w:rPr>
      </w:pPr>
      <w:r>
        <w:rPr>
          <w:rFonts w:hint="eastAsia" w:asciiTheme="minorEastAsia" w:hAnsiTheme="minorEastAsia" w:cstheme="minorEastAsia"/>
          <w:bCs/>
          <w:color w:val="000000"/>
          <w:kern w:val="0"/>
          <w:sz w:val="32"/>
          <w:szCs w:val="32"/>
        </w:rPr>
        <w:t>（三）改进建议：进一步细化预算编制，严格按财政部门有关要求编制，使预算执行进度更切合实际。严格按照预算编制的相关制度和要求进行预算编制；全面编制预算项目，优先保障固定性的、相对刚性的费用支出项目，尽量压缩变动性的、有控制空间的费用项目，进一步提高预算编制的科学性、严谨性和可控性。完善资产管理，抓好“三公”经费控制。</w:t>
      </w:r>
    </w:p>
    <w:p>
      <w:pPr>
        <w:pStyle w:val="6"/>
        <w:spacing w:line="600" w:lineRule="exact"/>
        <w:rPr>
          <w:rFonts w:asciiTheme="minorEastAsia" w:hAnsiTheme="minorEastAsia" w:cstheme="minorEastAsia"/>
          <w:bCs/>
          <w:color w:val="000000"/>
          <w:kern w:val="0"/>
          <w:sz w:val="32"/>
          <w:szCs w:val="32"/>
        </w:rPr>
      </w:pPr>
    </w:p>
    <w:sectPr>
      <w:pgSz w:w="11906" w:h="16838"/>
      <w:pgMar w:top="1440" w:right="1080" w:bottom="1440" w:left="108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026D"/>
    <w:rsid w:val="000148E6"/>
    <w:rsid w:val="0002229B"/>
    <w:rsid w:val="000273BD"/>
    <w:rsid w:val="000415B7"/>
    <w:rsid w:val="00041885"/>
    <w:rsid w:val="0006155F"/>
    <w:rsid w:val="000658A3"/>
    <w:rsid w:val="00074155"/>
    <w:rsid w:val="000A3F69"/>
    <w:rsid w:val="000C56DC"/>
    <w:rsid w:val="00115E9B"/>
    <w:rsid w:val="001202D9"/>
    <w:rsid w:val="00152C6D"/>
    <w:rsid w:val="00161DBA"/>
    <w:rsid w:val="00162D39"/>
    <w:rsid w:val="00172A27"/>
    <w:rsid w:val="0019081F"/>
    <w:rsid w:val="001A67DB"/>
    <w:rsid w:val="001B52B8"/>
    <w:rsid w:val="001D51E5"/>
    <w:rsid w:val="001F0C3B"/>
    <w:rsid w:val="00205CB8"/>
    <w:rsid w:val="00214427"/>
    <w:rsid w:val="00240679"/>
    <w:rsid w:val="00257CE3"/>
    <w:rsid w:val="002647E4"/>
    <w:rsid w:val="00265724"/>
    <w:rsid w:val="0027426B"/>
    <w:rsid w:val="00296409"/>
    <w:rsid w:val="002A26AD"/>
    <w:rsid w:val="002D663A"/>
    <w:rsid w:val="00303B0E"/>
    <w:rsid w:val="00327B6B"/>
    <w:rsid w:val="003461D3"/>
    <w:rsid w:val="003479BD"/>
    <w:rsid w:val="003546A3"/>
    <w:rsid w:val="003768D5"/>
    <w:rsid w:val="00393F0D"/>
    <w:rsid w:val="003C016D"/>
    <w:rsid w:val="003E14DC"/>
    <w:rsid w:val="00416464"/>
    <w:rsid w:val="004506F9"/>
    <w:rsid w:val="004717A2"/>
    <w:rsid w:val="00491741"/>
    <w:rsid w:val="004C55A8"/>
    <w:rsid w:val="004D6EF0"/>
    <w:rsid w:val="00500E5F"/>
    <w:rsid w:val="005122EF"/>
    <w:rsid w:val="00512F3F"/>
    <w:rsid w:val="00517C33"/>
    <w:rsid w:val="00523644"/>
    <w:rsid w:val="0054069E"/>
    <w:rsid w:val="005767CC"/>
    <w:rsid w:val="00590D9F"/>
    <w:rsid w:val="00595D26"/>
    <w:rsid w:val="005A74E6"/>
    <w:rsid w:val="005D4D55"/>
    <w:rsid w:val="005D7D09"/>
    <w:rsid w:val="005E2CFB"/>
    <w:rsid w:val="0060233C"/>
    <w:rsid w:val="0062378F"/>
    <w:rsid w:val="00651BBB"/>
    <w:rsid w:val="00651EEC"/>
    <w:rsid w:val="00652DAE"/>
    <w:rsid w:val="0065530A"/>
    <w:rsid w:val="006A351B"/>
    <w:rsid w:val="006B0422"/>
    <w:rsid w:val="006B750C"/>
    <w:rsid w:val="006C1B53"/>
    <w:rsid w:val="006C21A7"/>
    <w:rsid w:val="006D7730"/>
    <w:rsid w:val="006E4858"/>
    <w:rsid w:val="006E5284"/>
    <w:rsid w:val="006F3EB5"/>
    <w:rsid w:val="00702E34"/>
    <w:rsid w:val="00704395"/>
    <w:rsid w:val="00720FF1"/>
    <w:rsid w:val="00796319"/>
    <w:rsid w:val="007F14A4"/>
    <w:rsid w:val="007F441D"/>
    <w:rsid w:val="00812ED5"/>
    <w:rsid w:val="00821336"/>
    <w:rsid w:val="00823B8B"/>
    <w:rsid w:val="008277D9"/>
    <w:rsid w:val="00827A13"/>
    <w:rsid w:val="00865CF3"/>
    <w:rsid w:val="008A3E8D"/>
    <w:rsid w:val="008B01FC"/>
    <w:rsid w:val="008B7805"/>
    <w:rsid w:val="008C42EA"/>
    <w:rsid w:val="009237C4"/>
    <w:rsid w:val="00936AC9"/>
    <w:rsid w:val="00950252"/>
    <w:rsid w:val="0096152B"/>
    <w:rsid w:val="00967F5D"/>
    <w:rsid w:val="00973FE4"/>
    <w:rsid w:val="00996269"/>
    <w:rsid w:val="009A0F95"/>
    <w:rsid w:val="009B3ADF"/>
    <w:rsid w:val="009C3B52"/>
    <w:rsid w:val="009E0FAD"/>
    <w:rsid w:val="00A02399"/>
    <w:rsid w:val="00A37CFC"/>
    <w:rsid w:val="00A42218"/>
    <w:rsid w:val="00A44328"/>
    <w:rsid w:val="00A555DA"/>
    <w:rsid w:val="00A70249"/>
    <w:rsid w:val="00A7776E"/>
    <w:rsid w:val="00AD450E"/>
    <w:rsid w:val="00B022AE"/>
    <w:rsid w:val="00B33BEA"/>
    <w:rsid w:val="00B53C6B"/>
    <w:rsid w:val="00B57C9F"/>
    <w:rsid w:val="00B845B3"/>
    <w:rsid w:val="00B85D8B"/>
    <w:rsid w:val="00B9552D"/>
    <w:rsid w:val="00BB0910"/>
    <w:rsid w:val="00BD5100"/>
    <w:rsid w:val="00BE3674"/>
    <w:rsid w:val="00C02A8B"/>
    <w:rsid w:val="00C3049A"/>
    <w:rsid w:val="00C31B1E"/>
    <w:rsid w:val="00C77645"/>
    <w:rsid w:val="00CC2107"/>
    <w:rsid w:val="00CE0314"/>
    <w:rsid w:val="00CE04C3"/>
    <w:rsid w:val="00CE7298"/>
    <w:rsid w:val="00CE76A0"/>
    <w:rsid w:val="00D148C6"/>
    <w:rsid w:val="00D22E27"/>
    <w:rsid w:val="00D607BE"/>
    <w:rsid w:val="00D81970"/>
    <w:rsid w:val="00D879FB"/>
    <w:rsid w:val="00DD06FF"/>
    <w:rsid w:val="00DD5FE9"/>
    <w:rsid w:val="00DE1D9A"/>
    <w:rsid w:val="00E00C7A"/>
    <w:rsid w:val="00E55B68"/>
    <w:rsid w:val="00EF0590"/>
    <w:rsid w:val="00F74360"/>
    <w:rsid w:val="00FB462F"/>
    <w:rsid w:val="00FC3C00"/>
    <w:rsid w:val="00FC53B3"/>
    <w:rsid w:val="00FE16FA"/>
    <w:rsid w:val="00FE328A"/>
    <w:rsid w:val="01C715DA"/>
    <w:rsid w:val="02A94A9E"/>
    <w:rsid w:val="040F1C65"/>
    <w:rsid w:val="06BB2A02"/>
    <w:rsid w:val="090B10ED"/>
    <w:rsid w:val="09476727"/>
    <w:rsid w:val="0A16773C"/>
    <w:rsid w:val="0B2404AA"/>
    <w:rsid w:val="0C3F2F02"/>
    <w:rsid w:val="0C3F6BAD"/>
    <w:rsid w:val="0CA9186C"/>
    <w:rsid w:val="0EDB5BA7"/>
    <w:rsid w:val="0F1449EE"/>
    <w:rsid w:val="109C19FA"/>
    <w:rsid w:val="1120201F"/>
    <w:rsid w:val="11BA0F56"/>
    <w:rsid w:val="11EE33A4"/>
    <w:rsid w:val="133F46AB"/>
    <w:rsid w:val="13581709"/>
    <w:rsid w:val="14716E4B"/>
    <w:rsid w:val="15FA12B9"/>
    <w:rsid w:val="17373A59"/>
    <w:rsid w:val="193733F7"/>
    <w:rsid w:val="1BF954D0"/>
    <w:rsid w:val="1C2B71FE"/>
    <w:rsid w:val="1D5976D1"/>
    <w:rsid w:val="1DE70395"/>
    <w:rsid w:val="1E2A676D"/>
    <w:rsid w:val="1E5A4C37"/>
    <w:rsid w:val="209C6389"/>
    <w:rsid w:val="215F1FB0"/>
    <w:rsid w:val="240A7146"/>
    <w:rsid w:val="25AA1705"/>
    <w:rsid w:val="26513B81"/>
    <w:rsid w:val="26BD6B97"/>
    <w:rsid w:val="29402903"/>
    <w:rsid w:val="2A470E16"/>
    <w:rsid w:val="2ABA004B"/>
    <w:rsid w:val="2B2705D8"/>
    <w:rsid w:val="2C7E4514"/>
    <w:rsid w:val="2D940E02"/>
    <w:rsid w:val="2F3005A8"/>
    <w:rsid w:val="30BA7011"/>
    <w:rsid w:val="3531046A"/>
    <w:rsid w:val="359D3188"/>
    <w:rsid w:val="369C787C"/>
    <w:rsid w:val="383151C1"/>
    <w:rsid w:val="3B096249"/>
    <w:rsid w:val="3DE547F8"/>
    <w:rsid w:val="3F1F74AA"/>
    <w:rsid w:val="3F914B4D"/>
    <w:rsid w:val="408B5B2B"/>
    <w:rsid w:val="40DE6708"/>
    <w:rsid w:val="414F1337"/>
    <w:rsid w:val="46900857"/>
    <w:rsid w:val="49B539E2"/>
    <w:rsid w:val="4C3F215C"/>
    <w:rsid w:val="506F7796"/>
    <w:rsid w:val="534D2638"/>
    <w:rsid w:val="53DB7E88"/>
    <w:rsid w:val="559402C7"/>
    <w:rsid w:val="562F753C"/>
    <w:rsid w:val="585D6F46"/>
    <w:rsid w:val="59DF0B18"/>
    <w:rsid w:val="5A367A03"/>
    <w:rsid w:val="5D2E64D2"/>
    <w:rsid w:val="5D372F01"/>
    <w:rsid w:val="5DD337F8"/>
    <w:rsid w:val="5E6F0CEB"/>
    <w:rsid w:val="609835CC"/>
    <w:rsid w:val="61F97B14"/>
    <w:rsid w:val="626E410D"/>
    <w:rsid w:val="62787591"/>
    <w:rsid w:val="6365763E"/>
    <w:rsid w:val="63EE7FA1"/>
    <w:rsid w:val="66215791"/>
    <w:rsid w:val="681C67F4"/>
    <w:rsid w:val="68ED59CB"/>
    <w:rsid w:val="6A3119C9"/>
    <w:rsid w:val="6A504ED8"/>
    <w:rsid w:val="6CE53049"/>
    <w:rsid w:val="6D2C03AA"/>
    <w:rsid w:val="743D5E88"/>
    <w:rsid w:val="75EF6546"/>
    <w:rsid w:val="7A247ADD"/>
    <w:rsid w:val="7C2E2034"/>
    <w:rsid w:val="7D9E1B71"/>
    <w:rsid w:val="7EF62B6E"/>
    <w:rsid w:val="7F7E2D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1"/>
    <w:basedOn w:val="1"/>
    <w:next w:val="1"/>
    <w:link w:val="2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line="600" w:lineRule="exact"/>
      <w:ind w:left="0" w:leftChars="0"/>
    </w:pPr>
    <w:rPr>
      <w:rFonts w:ascii="Times New Roman" w:hAnsi="Times New Roman"/>
    </w:rPr>
  </w:style>
  <w:style w:type="paragraph" w:styleId="3">
    <w:name w:val="Body Text Indent"/>
    <w:basedOn w:val="1"/>
    <w:qFormat/>
    <w:uiPriority w:val="0"/>
    <w:pPr>
      <w:ind w:left="420" w:leftChars="200"/>
    </w:pPr>
  </w:style>
  <w:style w:type="paragraph" w:styleId="5">
    <w:name w:val="annotation text"/>
    <w:basedOn w:val="1"/>
    <w:link w:val="23"/>
    <w:semiHidden/>
    <w:unhideWhenUsed/>
    <w:qFormat/>
    <w:uiPriority w:val="99"/>
    <w:pPr>
      <w:jc w:val="left"/>
    </w:pPr>
  </w:style>
  <w:style w:type="paragraph" w:styleId="6">
    <w:name w:val="Plain Text"/>
    <w:basedOn w:val="1"/>
    <w:link w:val="24"/>
    <w:qFormat/>
    <w:uiPriority w:val="0"/>
    <w:rPr>
      <w:rFonts w:ascii="宋体" w:hAnsi="Courier New" w:cs="Courier New"/>
      <w:szCs w:val="21"/>
    </w:rPr>
  </w:style>
  <w:style w:type="paragraph" w:styleId="7">
    <w:name w:val="Balloon Text"/>
    <w:basedOn w:val="1"/>
    <w:link w:val="20"/>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unhideWhenUsed/>
    <w:qFormat/>
    <w:uiPriority w:val="99"/>
    <w:pPr>
      <w:snapToGrid w:val="0"/>
      <w:jc w:val="left"/>
    </w:pPr>
    <w:rPr>
      <w:sz w:val="18"/>
      <w:szCs w:val="18"/>
    </w:rPr>
  </w:style>
  <w:style w:type="paragraph" w:styleId="11">
    <w:name w:val="Normal (Web)"/>
    <w:basedOn w:val="1"/>
    <w:unhideWhenUsed/>
    <w:qFormat/>
    <w:uiPriority w:val="0"/>
    <w:pPr>
      <w:spacing w:line="432" w:lineRule="auto"/>
      <w:jc w:val="left"/>
    </w:pPr>
    <w:rPr>
      <w:rFonts w:cs="Times New Roman"/>
      <w:kern w:val="0"/>
      <w:sz w:val="24"/>
      <w:szCs w:val="24"/>
    </w:rPr>
  </w:style>
  <w:style w:type="character" w:styleId="14">
    <w:name w:val="Strong"/>
    <w:basedOn w:val="13"/>
    <w:qFormat/>
    <w:uiPriority w:val="22"/>
    <w:rPr>
      <w:b/>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paragraph" w:customStyle="1" w:styleId="18">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 w:type="paragraph" w:styleId="19">
    <w:name w:val="List Paragraph"/>
    <w:basedOn w:val="1"/>
    <w:qFormat/>
    <w:uiPriority w:val="34"/>
    <w:pPr>
      <w:ind w:firstLine="420" w:firstLineChars="200"/>
    </w:pPr>
  </w:style>
  <w:style w:type="character" w:customStyle="1" w:styleId="20">
    <w:name w:val="批注框文本 Char"/>
    <w:basedOn w:val="13"/>
    <w:link w:val="7"/>
    <w:semiHidden/>
    <w:qFormat/>
    <w:uiPriority w:val="99"/>
    <w:rPr>
      <w:sz w:val="18"/>
      <w:szCs w:val="18"/>
    </w:rPr>
  </w:style>
  <w:style w:type="character" w:customStyle="1" w:styleId="21">
    <w:name w:val="标题 1 Char"/>
    <w:basedOn w:val="13"/>
    <w:link w:val="4"/>
    <w:qFormat/>
    <w:uiPriority w:val="9"/>
    <w:rPr>
      <w:b/>
      <w:bCs/>
      <w:kern w:val="44"/>
      <w:sz w:val="44"/>
      <w:szCs w:val="44"/>
    </w:rPr>
  </w:style>
  <w:style w:type="character" w:customStyle="1" w:styleId="22">
    <w:name w:val="a a31"/>
    <w:basedOn w:val="13"/>
    <w:qFormat/>
    <w:uiPriority w:val="99"/>
    <w:rPr>
      <w:rFonts w:cs="Times New Roman"/>
    </w:rPr>
  </w:style>
  <w:style w:type="character" w:customStyle="1" w:styleId="23">
    <w:name w:val="批注文字 Char"/>
    <w:basedOn w:val="13"/>
    <w:link w:val="5"/>
    <w:semiHidden/>
    <w:qFormat/>
    <w:uiPriority w:val="99"/>
    <w:rPr>
      <w:rFonts w:asciiTheme="minorHAnsi" w:hAnsiTheme="minorHAnsi" w:eastAsiaTheme="minorEastAsia" w:cstheme="minorBidi"/>
      <w:kern w:val="2"/>
      <w:sz w:val="21"/>
      <w:szCs w:val="22"/>
    </w:rPr>
  </w:style>
  <w:style w:type="character" w:customStyle="1" w:styleId="24">
    <w:name w:val="纯文本 Char"/>
    <w:basedOn w:val="13"/>
    <w:link w:val="6"/>
    <w:qFormat/>
    <w:locked/>
    <w:uiPriority w:val="0"/>
    <w:rPr>
      <w:rFonts w:ascii="宋体" w:hAnsi="Courier New" w:cs="Courier New" w:eastAsiaTheme="minorEastAsia"/>
      <w:kern w:val="2"/>
      <w:sz w:val="21"/>
      <w:szCs w:val="21"/>
    </w:rPr>
  </w:style>
  <w:style w:type="character" w:customStyle="1" w:styleId="25">
    <w:name w:val="15"/>
    <w:basedOn w:val="13"/>
    <w:qFormat/>
    <w:uiPriority w:val="0"/>
    <w:rPr>
      <w:rFonts w:hint="default" w:ascii="Calibri" w:hAnsi="Calibri"/>
    </w:rPr>
  </w:style>
  <w:style w:type="character" w:customStyle="1" w:styleId="26">
    <w:name w:val="NormalCharacter"/>
    <w:semiHidden/>
    <w:qFormat/>
    <w:uiPriority w:val="0"/>
  </w:style>
  <w:style w:type="paragraph" w:customStyle="1" w:styleId="27">
    <w:name w:val="正文文字"/>
    <w:basedOn w:val="1"/>
    <w:next w:val="1"/>
    <w:qFormat/>
    <w:uiPriority w:val="99"/>
    <w:pPr>
      <w:spacing w:after="12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F0A791-2348-4316-93C9-0078224DB28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5146</Words>
  <Characters>256</Characters>
  <Lines>2</Lines>
  <Paragraphs>10</Paragraphs>
  <TotalTime>81</TotalTime>
  <ScaleCrop>false</ScaleCrop>
  <LinksUpToDate>false</LinksUpToDate>
  <CharactersWithSpaces>5392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Administrator</cp:lastModifiedBy>
  <cp:lastPrinted>2021-05-10T01:53:00Z</cp:lastPrinted>
  <dcterms:modified xsi:type="dcterms:W3CDTF">2022-09-27T08:59:18Z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F9188922369B4FD693E9DF7639DD941F</vt:lpwstr>
  </property>
</Properties>
</file>