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FC9" w:rsidRDefault="00DF6FC9" w:rsidP="00DF6FC9">
      <w:pPr>
        <w:pStyle w:val="a3"/>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w:t>
      </w:r>
      <w:r w:rsidR="00086D53">
        <w:rPr>
          <w:rFonts w:ascii="方正小标宋简体" w:eastAsia="方正小标宋简体" w:hAnsi="方正小标宋简体" w:cs="方正小标宋简体" w:hint="eastAsia"/>
          <w:sz w:val="44"/>
          <w:szCs w:val="44"/>
        </w:rPr>
        <w:t>2</w:t>
      </w:r>
      <w:r w:rsidR="00F5193F">
        <w:rPr>
          <w:rFonts w:ascii="方正小标宋简体" w:eastAsia="方正小标宋简体" w:hAnsi="方正小标宋简体" w:cs="方正小标宋简体" w:hint="eastAsia"/>
          <w:sz w:val="44"/>
          <w:szCs w:val="44"/>
        </w:rPr>
        <w:t>1</w:t>
      </w:r>
      <w:r>
        <w:rPr>
          <w:rFonts w:ascii="方正小标宋简体" w:eastAsia="方正小标宋简体" w:hAnsi="方正小标宋简体" w:cs="方正小标宋简体" w:hint="eastAsia"/>
          <w:sz w:val="44"/>
          <w:szCs w:val="44"/>
        </w:rPr>
        <w:t>年攸县审计局整体支出绩效报告</w:t>
      </w:r>
    </w:p>
    <w:p w:rsidR="00DF6FC9" w:rsidRDefault="00DF6FC9" w:rsidP="00DF6FC9">
      <w:pPr>
        <w:pStyle w:val="a3"/>
        <w:spacing w:line="600" w:lineRule="exact"/>
        <w:rPr>
          <w:rFonts w:ascii="Times New Roman" w:eastAsia="方正黑体简体" w:hAnsi="Times New Roman" w:cs="Times New Roman"/>
          <w:b/>
          <w:sz w:val="32"/>
          <w:szCs w:val="32"/>
        </w:rPr>
      </w:pPr>
    </w:p>
    <w:p w:rsidR="00DF6FC9" w:rsidRDefault="00DF6FC9" w:rsidP="00DF6FC9">
      <w:pPr>
        <w:pStyle w:val="a3"/>
        <w:numPr>
          <w:ilvl w:val="0"/>
          <w:numId w:val="1"/>
        </w:numPr>
        <w:spacing w:line="600" w:lineRule="exact"/>
        <w:ind w:left="720"/>
        <w:rPr>
          <w:rFonts w:ascii="Times New Roman" w:eastAsia="黑体" w:hAnsi="Times New Roman" w:cs="Times New Roman"/>
          <w:bCs/>
          <w:sz w:val="32"/>
          <w:szCs w:val="32"/>
        </w:rPr>
      </w:pPr>
      <w:r>
        <w:rPr>
          <w:rFonts w:ascii="Times New Roman" w:eastAsia="黑体" w:hAnsi="Times New Roman" w:cs="Times New Roman"/>
          <w:bCs/>
          <w:sz w:val="32"/>
          <w:szCs w:val="32"/>
        </w:rPr>
        <w:t>单位</w:t>
      </w:r>
      <w:r>
        <w:rPr>
          <w:rFonts w:ascii="Times New Roman" w:eastAsia="黑体" w:hAnsi="Times New Roman" w:cs="Times New Roman" w:hint="eastAsia"/>
          <w:bCs/>
          <w:sz w:val="32"/>
          <w:szCs w:val="32"/>
        </w:rPr>
        <w:t>概况</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（一）机构组成</w:t>
      </w:r>
    </w:p>
    <w:p w:rsidR="00F5193F" w:rsidRDefault="00DF6FC9" w:rsidP="00086D53">
      <w:pPr>
        <w:widowControl/>
        <w:spacing w:line="600" w:lineRule="exact"/>
        <w:ind w:firstLineChars="200" w:firstLine="640"/>
        <w:rPr>
          <w:rFonts w:ascii="仿宋" w:eastAsia="仿宋" w:hAnsi="仿宋" w:cs="仿宋" w:hint="eastAsia"/>
          <w:bCs/>
          <w:color w:val="000000" w:themeColor="text1"/>
          <w:kern w:val="0"/>
          <w:sz w:val="32"/>
          <w:szCs w:val="32"/>
        </w:rPr>
      </w:pPr>
      <w:r>
        <w:rPr>
          <w:rFonts w:ascii="仿宋" w:eastAsia="仿宋" w:hAnsi="仿宋" w:cs="仿宋" w:hint="eastAsia"/>
          <w:bCs/>
          <w:color w:val="000000" w:themeColor="text1"/>
          <w:kern w:val="0"/>
          <w:sz w:val="32"/>
          <w:szCs w:val="32"/>
        </w:rPr>
        <w:t>攸县审计局20</w:t>
      </w:r>
      <w:r w:rsidR="00086D53">
        <w:rPr>
          <w:rFonts w:ascii="仿宋" w:eastAsia="仿宋" w:hAnsi="仿宋" w:cs="仿宋" w:hint="eastAsia"/>
          <w:bCs/>
          <w:color w:val="000000" w:themeColor="text1"/>
          <w:kern w:val="0"/>
          <w:sz w:val="32"/>
          <w:szCs w:val="32"/>
        </w:rPr>
        <w:t>2</w:t>
      </w:r>
      <w:r w:rsidR="00F5193F">
        <w:rPr>
          <w:rFonts w:ascii="仿宋" w:eastAsia="仿宋" w:hAnsi="仿宋" w:cs="仿宋" w:hint="eastAsia"/>
          <w:bCs/>
          <w:color w:val="000000" w:themeColor="text1"/>
          <w:kern w:val="0"/>
          <w:sz w:val="32"/>
          <w:szCs w:val="32"/>
        </w:rPr>
        <w:t>1</w:t>
      </w:r>
      <w:r>
        <w:rPr>
          <w:rFonts w:ascii="仿宋" w:eastAsia="仿宋" w:hAnsi="仿宋" w:cs="仿宋" w:hint="eastAsia"/>
          <w:bCs/>
          <w:color w:val="000000" w:themeColor="text1"/>
          <w:kern w:val="0"/>
          <w:sz w:val="32"/>
          <w:szCs w:val="32"/>
        </w:rPr>
        <w:t>年</w:t>
      </w:r>
      <w:r w:rsidR="00F5193F" w:rsidRPr="00F5193F">
        <w:rPr>
          <w:rFonts w:ascii="仿宋" w:eastAsia="仿宋" w:hAnsi="仿宋" w:cs="仿宋" w:hint="eastAsia"/>
          <w:bCs/>
          <w:color w:val="000000" w:themeColor="text1"/>
          <w:kern w:val="0"/>
          <w:sz w:val="32"/>
          <w:szCs w:val="32"/>
        </w:rPr>
        <w:t>内设办公室、法制审理室、财政金融审计股、行政事业审计股、经济责任审计股、经贸企业审计股、政府投资审计股7个股室和攸县投资审计中心1个副科级二级机构（未单独核算）。</w:t>
      </w:r>
    </w:p>
    <w:p w:rsidR="00DF6FC9" w:rsidRDefault="00DF6FC9" w:rsidP="00086D53">
      <w:pPr>
        <w:widowControl/>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（二）机构职能</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1.</w:t>
      </w:r>
      <w:r>
        <w:rPr>
          <w:rFonts w:ascii="Times New Roman" w:eastAsia="仿宋_GB2312" w:hAnsi="Times New Roman"/>
          <w:kern w:val="2"/>
          <w:sz w:val="32"/>
          <w:szCs w:val="32"/>
        </w:rPr>
        <w:t>贯彻执行国家、省、市有关审计工作的方针、政策和法律法规；拟订全县审计工作基本规划、发展规划和专业领域审计工作规划以及年度审计计划并组织实施；会同有关部门拟订审计、财政经济及有关制度的办法并监督执行。</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2.</w:t>
      </w:r>
      <w:r>
        <w:rPr>
          <w:rFonts w:ascii="Times New Roman" w:eastAsia="仿宋_GB2312" w:hAnsi="Times New Roman"/>
          <w:kern w:val="2"/>
          <w:sz w:val="32"/>
          <w:szCs w:val="32"/>
        </w:rPr>
        <w:t>负责对全县财政收支和属于审计监督范围的财务收支进行审计监督，维护全县财政经济秩序；负责对依法行政情况进行审计监督，严查有法不依，执法不严等问题，促进法治政府建设；负责对直接审计、调查和核查的事项进行审计评价，出具审计报告，作出审计决定或提出审计建议，并负有监督被审计单位整改的责任。</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3.</w:t>
      </w:r>
      <w:r>
        <w:rPr>
          <w:rFonts w:ascii="Times New Roman" w:eastAsia="仿宋_GB2312" w:hAnsi="Times New Roman"/>
          <w:kern w:val="2"/>
          <w:sz w:val="32"/>
          <w:szCs w:val="32"/>
        </w:rPr>
        <w:t>负责向人民政府报告和向县人民政府有关部门通报审计情况，提出制定推动深化改革、创新体制机制和完善有关政策法规、宏观调控措施的建议。</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4.</w:t>
      </w:r>
      <w:r>
        <w:rPr>
          <w:rFonts w:ascii="Times New Roman" w:eastAsia="仿宋_GB2312" w:hAnsi="Times New Roman"/>
          <w:kern w:val="2"/>
          <w:sz w:val="32"/>
          <w:szCs w:val="32"/>
        </w:rPr>
        <w:t>负责向县人民政府提出年度县本级预算执行和其他财</w:t>
      </w:r>
      <w:r>
        <w:rPr>
          <w:rFonts w:ascii="Times New Roman" w:eastAsia="仿宋_GB2312" w:hAnsi="Times New Roman"/>
          <w:kern w:val="2"/>
          <w:sz w:val="32"/>
          <w:szCs w:val="32"/>
        </w:rPr>
        <w:lastRenderedPageBreak/>
        <w:t>政收支情况的审计结果报告；受县人民政府委托向县人大常委会提出县本级预算执行情况和其他财政收支情况的审计工作报告、审计发现问题的纠正和处理结果报告；负责向社会公布审计结果。</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 5.</w:t>
      </w:r>
      <w:r>
        <w:rPr>
          <w:rFonts w:ascii="Times New Roman" w:eastAsia="仿宋_GB2312" w:hAnsi="Times New Roman"/>
          <w:kern w:val="2"/>
          <w:sz w:val="32"/>
          <w:szCs w:val="32"/>
        </w:rPr>
        <w:t>负责对县本级财政预算执行情况和其他财政收支进行审计监督；负责对乡镇（街道）和县直机关事业单位及其下属单位预算执行情况、决算和其他财政收支进行审计监督；负责对县属国有企业和金融机构、县属国有资本占控股或主导地位的企业和金融机构的资产、负债和捐益情况进行审计监督；负责对县人民政府部门管理的和其他单位受县人民政府委托管理的社会保障基金、社会捐赠资金以及其他有关基金、资金的财务收支进行审计监督；负责对县人民政府投资和以县人民政府投资为主的建设项目的预算执行、工程结算情况和竣工决算进行审计监督；负责对接收的国际组织和外国政府援助、贷款项目以及赠款项目的财务收支进行审计监督；对被审计单位出具审计报告，在法定职权范围内作出审计决定或向有关主管机关提出处理处罚建议。</w:t>
      </w:r>
    </w:p>
    <w:p w:rsidR="00DF6FC9" w:rsidRDefault="00DF6FC9" w:rsidP="00DF6FC9">
      <w:pPr>
        <w:pStyle w:val="a4"/>
        <w:shd w:val="clear" w:color="auto" w:fill="FFFFFF"/>
        <w:adjustRightInd w:val="0"/>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6.</w:t>
      </w:r>
      <w:r>
        <w:rPr>
          <w:rFonts w:ascii="Times New Roman" w:eastAsia="仿宋_GB2312" w:hAnsi="Times New Roman"/>
          <w:kern w:val="2"/>
          <w:sz w:val="32"/>
          <w:szCs w:val="32"/>
        </w:rPr>
        <w:t>负责县领导干部经济责任审计工作领导小组办公室日常工作；负责对县管党政领导干部及国有企事业领导人员实施经济责任审计；协调各成员单位运用经济责任审计成果。</w:t>
      </w:r>
    </w:p>
    <w:p w:rsidR="00DF6FC9" w:rsidRDefault="00DF6FC9" w:rsidP="00DF6FC9">
      <w:pPr>
        <w:pStyle w:val="a4"/>
        <w:shd w:val="clear" w:color="auto" w:fill="FFFFFF"/>
        <w:adjustRightInd w:val="0"/>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7.</w:t>
      </w:r>
      <w:r>
        <w:rPr>
          <w:rFonts w:ascii="Times New Roman" w:eastAsia="仿宋_GB2312" w:hAnsi="Times New Roman"/>
          <w:kern w:val="2"/>
          <w:sz w:val="32"/>
          <w:szCs w:val="32"/>
        </w:rPr>
        <w:t>组织实施对国家财经法律、法规、规章和重大宏观政</w:t>
      </w:r>
    </w:p>
    <w:p w:rsidR="00DF6FC9" w:rsidRDefault="00DF6FC9" w:rsidP="00DF6FC9">
      <w:pPr>
        <w:pStyle w:val="a4"/>
        <w:shd w:val="clear" w:color="auto" w:fill="FFFFFF"/>
        <w:adjustRightInd w:val="0"/>
        <w:spacing w:line="600" w:lineRule="exact"/>
        <w:rPr>
          <w:rFonts w:ascii="Times New Roman" w:eastAsia="仿宋_GB2312" w:hAnsi="Times New Roman" w:hint="default"/>
          <w:kern w:val="2"/>
          <w:sz w:val="32"/>
          <w:szCs w:val="32"/>
        </w:rPr>
      </w:pPr>
      <w:r>
        <w:rPr>
          <w:rFonts w:ascii="Times New Roman" w:eastAsia="仿宋_GB2312" w:hAnsi="Times New Roman"/>
          <w:kern w:val="2"/>
          <w:sz w:val="32"/>
          <w:szCs w:val="32"/>
        </w:rPr>
        <w:t>策措施落实情况、财政预算管理或国有资产管理使用等与国</w:t>
      </w:r>
    </w:p>
    <w:p w:rsidR="00DF6FC9" w:rsidRDefault="00DF6FC9" w:rsidP="00DF6FC9">
      <w:pPr>
        <w:pStyle w:val="a4"/>
        <w:shd w:val="clear" w:color="auto" w:fill="FFFFFF"/>
        <w:adjustRightInd w:val="0"/>
        <w:spacing w:line="600" w:lineRule="exact"/>
        <w:rPr>
          <w:rFonts w:ascii="Times New Roman" w:eastAsia="仿宋_GB2312" w:hAnsi="Times New Roman" w:hint="default"/>
          <w:kern w:val="2"/>
          <w:sz w:val="32"/>
          <w:szCs w:val="32"/>
        </w:rPr>
      </w:pPr>
      <w:r>
        <w:rPr>
          <w:rFonts w:ascii="Times New Roman" w:eastAsia="仿宋_GB2312" w:hAnsi="Times New Roman"/>
          <w:kern w:val="2"/>
          <w:sz w:val="32"/>
          <w:szCs w:val="32"/>
        </w:rPr>
        <w:t>家财政收支有关的特定事项进行专项审计调查。</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lastRenderedPageBreak/>
        <w:t>8.</w:t>
      </w:r>
      <w:r>
        <w:rPr>
          <w:rFonts w:ascii="Times New Roman" w:eastAsia="仿宋_GB2312" w:hAnsi="Times New Roman"/>
          <w:kern w:val="2"/>
          <w:sz w:val="32"/>
          <w:szCs w:val="32"/>
        </w:rPr>
        <w:t>负责检查审计决定执行情况并督促纠正和处理审计发现的问题；负责办理被审计单位对审计决定提请行政复议、行政诉讼或县人民政府裁决中的有关事项；协助配合有关部门查处相关重大案件。</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9.</w:t>
      </w:r>
      <w:r>
        <w:rPr>
          <w:rFonts w:ascii="Times New Roman" w:eastAsia="仿宋_GB2312" w:hAnsi="Times New Roman"/>
          <w:kern w:val="2"/>
          <w:sz w:val="32"/>
          <w:szCs w:val="32"/>
        </w:rPr>
        <w:t>指导和监督内部审计工作；核查社会审计机构对依法属于审计监督对象的单位出具的相关审计报告。</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10.</w:t>
      </w:r>
      <w:r>
        <w:rPr>
          <w:rFonts w:ascii="Times New Roman" w:eastAsia="仿宋_GB2312" w:hAnsi="Times New Roman"/>
          <w:kern w:val="2"/>
          <w:sz w:val="32"/>
          <w:szCs w:val="32"/>
        </w:rPr>
        <w:t>指导和推广信息技术在全县审计系统的应用；负责审计信息化建设、管理和维护工作；组织开展全县审计系统电子数据审计培训和计算机审计技术资格考试工作。</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 11.</w:t>
      </w:r>
      <w:r>
        <w:rPr>
          <w:rFonts w:ascii="Times New Roman" w:eastAsia="仿宋_GB2312" w:hAnsi="Times New Roman"/>
          <w:kern w:val="2"/>
          <w:sz w:val="32"/>
          <w:szCs w:val="32"/>
        </w:rPr>
        <w:t>负责上级审计部门授权的审计项目和专项审计调查项目的组织实施。</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  12.</w:t>
      </w:r>
      <w:r>
        <w:rPr>
          <w:rFonts w:ascii="Times New Roman" w:eastAsia="仿宋_GB2312" w:hAnsi="Times New Roman"/>
          <w:kern w:val="2"/>
          <w:sz w:val="32"/>
          <w:szCs w:val="32"/>
        </w:rPr>
        <w:t>负责对乡（镇）人民政府、街道办事处、县直党政工作部门、审判机关、检察机关、事业单位和人民团体等单位的机构设置、编制使用以及有关规定的执行情况进行审计。</w:t>
      </w:r>
    </w:p>
    <w:p w:rsidR="00DF6FC9" w:rsidRDefault="00DF6FC9" w:rsidP="00DF6FC9">
      <w:pPr>
        <w:pStyle w:val="a4"/>
        <w:shd w:val="clear" w:color="auto" w:fill="FFFFFF"/>
        <w:spacing w:line="600" w:lineRule="exact"/>
        <w:ind w:firstLineChars="200" w:firstLine="640"/>
        <w:rPr>
          <w:rFonts w:ascii="Times New Roman" w:eastAsia="仿宋_GB2312" w:hAnsi="Times New Roman" w:hint="default"/>
          <w:kern w:val="2"/>
          <w:sz w:val="32"/>
          <w:szCs w:val="32"/>
        </w:rPr>
      </w:pPr>
      <w:r>
        <w:rPr>
          <w:rFonts w:ascii="Times New Roman" w:eastAsia="仿宋_GB2312" w:hAnsi="Times New Roman"/>
          <w:kern w:val="2"/>
          <w:sz w:val="32"/>
          <w:szCs w:val="32"/>
        </w:rPr>
        <w:t>13.</w:t>
      </w:r>
      <w:r>
        <w:rPr>
          <w:rFonts w:ascii="Times New Roman" w:eastAsia="仿宋_GB2312" w:hAnsi="Times New Roman"/>
          <w:kern w:val="2"/>
          <w:sz w:val="32"/>
          <w:szCs w:val="32"/>
        </w:rPr>
        <w:t>负责行政复议和行政诉讼工作。</w:t>
      </w:r>
    </w:p>
    <w:p w:rsidR="00DF6FC9" w:rsidRDefault="00DF6FC9" w:rsidP="00DF6FC9">
      <w:pPr>
        <w:pStyle w:val="a4"/>
        <w:shd w:val="clear" w:color="auto" w:fill="FFFFFF"/>
        <w:spacing w:line="600" w:lineRule="exact"/>
        <w:ind w:firstLineChars="200" w:firstLine="640"/>
        <w:rPr>
          <w:rFonts w:hint="default"/>
          <w:color w:val="4C4C4C"/>
        </w:rPr>
      </w:pPr>
      <w:r>
        <w:rPr>
          <w:rFonts w:ascii="Times New Roman" w:eastAsia="仿宋_GB2312" w:hAnsi="Times New Roman"/>
          <w:kern w:val="2"/>
          <w:sz w:val="32"/>
          <w:szCs w:val="32"/>
        </w:rPr>
        <w:t>14.</w:t>
      </w:r>
      <w:r>
        <w:rPr>
          <w:rFonts w:ascii="Times New Roman" w:eastAsia="仿宋_GB2312" w:hAnsi="Times New Roman"/>
          <w:kern w:val="2"/>
          <w:sz w:val="32"/>
          <w:szCs w:val="32"/>
        </w:rPr>
        <w:t>承办县委、县人民政府交办的其他事项。</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（三）人员概况</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截止至</w:t>
      </w:r>
      <w:r>
        <w:rPr>
          <w:rFonts w:ascii="Times New Roman" w:eastAsia="仿宋_GB2312" w:hAnsi="Times New Roman" w:cs="Times New Roman" w:hint="eastAsia"/>
          <w:sz w:val="32"/>
          <w:szCs w:val="32"/>
        </w:rPr>
        <w:t>20</w:t>
      </w:r>
      <w:r w:rsidR="00086D53">
        <w:rPr>
          <w:rFonts w:ascii="Times New Roman" w:eastAsia="仿宋_GB2312" w:hAnsi="Times New Roman" w:cs="Times New Roman" w:hint="eastAsia"/>
          <w:sz w:val="32"/>
          <w:szCs w:val="32"/>
        </w:rPr>
        <w:t>2</w:t>
      </w:r>
      <w:r w:rsidR="00F5193F">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31</w:t>
      </w:r>
      <w:r>
        <w:rPr>
          <w:rFonts w:ascii="Times New Roman" w:eastAsia="仿宋_GB2312" w:hAnsi="Times New Roman" w:cs="Times New Roman" w:hint="eastAsia"/>
          <w:sz w:val="32"/>
          <w:szCs w:val="32"/>
        </w:rPr>
        <w:t>日，攸县审计局编制</w:t>
      </w:r>
      <w:r w:rsidR="00F5193F">
        <w:rPr>
          <w:rFonts w:ascii="Times New Roman" w:eastAsia="仿宋_GB2312" w:hAnsi="Times New Roman" w:cs="Times New Roman" w:hint="eastAsia"/>
          <w:sz w:val="32"/>
          <w:szCs w:val="32"/>
        </w:rPr>
        <w:t>25</w:t>
      </w:r>
      <w:r>
        <w:rPr>
          <w:rFonts w:ascii="Times New Roman" w:eastAsia="仿宋_GB2312" w:hAnsi="Times New Roman" w:cs="Times New Roman" w:hint="eastAsia"/>
          <w:sz w:val="32"/>
          <w:szCs w:val="32"/>
        </w:rPr>
        <w:t>，在职人员</w:t>
      </w:r>
      <w:r w:rsidR="00F5193F">
        <w:rPr>
          <w:rFonts w:ascii="Times New Roman" w:eastAsia="仿宋_GB2312" w:hAnsi="Times New Roman" w:cs="Times New Roman" w:hint="eastAsia"/>
          <w:sz w:val="32"/>
          <w:szCs w:val="32"/>
        </w:rPr>
        <w:t>29</w:t>
      </w:r>
      <w:r>
        <w:rPr>
          <w:rFonts w:ascii="Times New Roman" w:eastAsia="仿宋_GB2312" w:hAnsi="Times New Roman" w:cs="Times New Roman" w:hint="eastAsia"/>
          <w:sz w:val="32"/>
          <w:szCs w:val="32"/>
        </w:rPr>
        <w:t>人、退休人员</w:t>
      </w:r>
      <w:r w:rsidR="00F5193F">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人、临聘人员</w:t>
      </w:r>
      <w:r w:rsidR="00892704">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人。</w:t>
      </w:r>
    </w:p>
    <w:p w:rsidR="00DF6FC9" w:rsidRDefault="00DF6FC9" w:rsidP="00DF6FC9">
      <w:pPr>
        <w:pStyle w:val="a3"/>
        <w:spacing w:line="600" w:lineRule="exact"/>
        <w:rPr>
          <w:rFonts w:ascii="Times New Roman" w:eastAsia="黑体" w:hAnsi="Times New Roman" w:cs="Times New Roman"/>
          <w:bCs/>
          <w:sz w:val="32"/>
          <w:szCs w:val="32"/>
        </w:rPr>
      </w:pPr>
      <w:r>
        <w:rPr>
          <w:rFonts w:ascii="Times New Roman" w:eastAsia="黑体" w:hAnsi="Times New Roman" w:cs="Times New Roman"/>
          <w:bCs/>
          <w:sz w:val="32"/>
          <w:szCs w:val="32"/>
        </w:rPr>
        <w:t>二、</w:t>
      </w:r>
      <w:r>
        <w:rPr>
          <w:rFonts w:ascii="Times New Roman" w:eastAsia="黑体" w:hAnsi="Times New Roman" w:cs="Times New Roman" w:hint="eastAsia"/>
          <w:bCs/>
          <w:sz w:val="32"/>
          <w:szCs w:val="32"/>
        </w:rPr>
        <w:t>部门财政资金收支情况</w:t>
      </w:r>
    </w:p>
    <w:p w:rsidR="00DF6FC9" w:rsidRDefault="00DF6FC9" w:rsidP="00DF6FC9">
      <w:pPr>
        <w:pStyle w:val="a3"/>
        <w:spacing w:line="600" w:lineRule="exact"/>
        <w:ind w:firstLineChars="200" w:firstLine="640"/>
        <w:rPr>
          <w:rFonts w:ascii="仿宋" w:eastAsia="仿宋" w:hAnsi="仿宋" w:cs="仿宋"/>
          <w:bCs/>
          <w:color w:val="000000" w:themeColor="text1"/>
          <w:kern w:val="0"/>
          <w:sz w:val="32"/>
          <w:szCs w:val="32"/>
        </w:rPr>
      </w:pPr>
      <w:r>
        <w:rPr>
          <w:rFonts w:ascii="Times New Roman" w:eastAsia="仿宋_GB2312" w:hAnsi="Times New Roman" w:cs="Times New Roman" w:hint="eastAsia"/>
          <w:sz w:val="32"/>
          <w:szCs w:val="32"/>
        </w:rPr>
        <w:t>（一）收入</w:t>
      </w:r>
      <w:r w:rsidR="00F5193F">
        <w:rPr>
          <w:rFonts w:ascii="Times New Roman" w:eastAsia="仿宋_GB2312" w:hAnsi="Times New Roman" w:cs="Times New Roman" w:hint="eastAsia"/>
          <w:sz w:val="32"/>
          <w:szCs w:val="32"/>
        </w:rPr>
        <w:t>决</w:t>
      </w:r>
      <w:r>
        <w:rPr>
          <w:rFonts w:ascii="Times New Roman" w:eastAsia="仿宋_GB2312" w:hAnsi="Times New Roman" w:cs="Times New Roman" w:hint="eastAsia"/>
          <w:sz w:val="32"/>
          <w:szCs w:val="32"/>
        </w:rPr>
        <w:t>算</w:t>
      </w:r>
      <w:r w:rsidR="00C243E3">
        <w:rPr>
          <w:rFonts w:ascii="仿宋" w:eastAsia="仿宋" w:hAnsi="仿宋" w:cs="仿宋" w:hint="eastAsia"/>
          <w:bCs/>
          <w:color w:val="000000" w:themeColor="text1"/>
          <w:kern w:val="0"/>
          <w:sz w:val="32"/>
          <w:szCs w:val="32"/>
        </w:rPr>
        <w:t>5</w:t>
      </w:r>
      <w:r w:rsidR="00F5193F">
        <w:rPr>
          <w:rFonts w:ascii="仿宋" w:eastAsia="仿宋" w:hAnsi="仿宋" w:cs="仿宋" w:hint="eastAsia"/>
          <w:bCs/>
          <w:color w:val="000000" w:themeColor="text1"/>
          <w:kern w:val="0"/>
          <w:sz w:val="32"/>
          <w:szCs w:val="32"/>
        </w:rPr>
        <w:t>93.74</w:t>
      </w:r>
      <w:r>
        <w:rPr>
          <w:rFonts w:ascii="仿宋" w:eastAsia="仿宋" w:hAnsi="仿宋" w:cs="仿宋" w:hint="eastAsia"/>
          <w:bCs/>
          <w:color w:val="000000" w:themeColor="text1"/>
          <w:kern w:val="0"/>
          <w:sz w:val="32"/>
          <w:szCs w:val="32"/>
        </w:rPr>
        <w:t>万元</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（二）支出</w:t>
      </w:r>
      <w:r w:rsidR="00F5193F">
        <w:rPr>
          <w:rFonts w:ascii="Times New Roman" w:eastAsia="仿宋_GB2312" w:hAnsi="Times New Roman" w:cs="Times New Roman" w:hint="eastAsia"/>
          <w:sz w:val="32"/>
          <w:szCs w:val="32"/>
        </w:rPr>
        <w:t>决</w:t>
      </w:r>
      <w:r>
        <w:rPr>
          <w:rFonts w:ascii="Times New Roman" w:eastAsia="仿宋_GB2312" w:hAnsi="Times New Roman" w:cs="Times New Roman" w:hint="eastAsia"/>
          <w:sz w:val="32"/>
          <w:szCs w:val="32"/>
        </w:rPr>
        <w:t>算</w:t>
      </w:r>
      <w:r w:rsidR="00C243E3">
        <w:rPr>
          <w:rFonts w:ascii="仿宋" w:eastAsia="仿宋" w:hAnsi="仿宋" w:cs="仿宋" w:hint="eastAsia"/>
          <w:bCs/>
          <w:color w:val="000000" w:themeColor="text1"/>
          <w:kern w:val="0"/>
          <w:sz w:val="32"/>
          <w:szCs w:val="32"/>
        </w:rPr>
        <w:t>5</w:t>
      </w:r>
      <w:r w:rsidR="00F5193F">
        <w:rPr>
          <w:rFonts w:ascii="仿宋" w:eastAsia="仿宋" w:hAnsi="仿宋" w:cs="仿宋" w:hint="eastAsia"/>
          <w:bCs/>
          <w:color w:val="000000" w:themeColor="text1"/>
          <w:kern w:val="0"/>
          <w:sz w:val="32"/>
          <w:szCs w:val="32"/>
        </w:rPr>
        <w:t>93.74</w:t>
      </w:r>
      <w:r>
        <w:rPr>
          <w:rFonts w:ascii="仿宋" w:eastAsia="仿宋" w:hAnsi="仿宋" w:cs="仿宋" w:hint="eastAsia"/>
          <w:bCs/>
          <w:color w:val="000000" w:themeColor="text1"/>
          <w:kern w:val="0"/>
          <w:sz w:val="32"/>
          <w:szCs w:val="32"/>
        </w:rPr>
        <w:t>万元</w:t>
      </w:r>
    </w:p>
    <w:p w:rsidR="00DF6FC9" w:rsidRDefault="00DF6FC9" w:rsidP="00DF6FC9">
      <w:pPr>
        <w:pStyle w:val="a3"/>
        <w:spacing w:line="600" w:lineRule="exact"/>
        <w:rPr>
          <w:rFonts w:ascii="Times New Roman" w:eastAsia="黑体" w:hAnsi="Times New Roman" w:cs="Times New Roman"/>
          <w:bCs/>
          <w:sz w:val="32"/>
          <w:szCs w:val="32"/>
        </w:rPr>
      </w:pPr>
      <w:r>
        <w:rPr>
          <w:rFonts w:ascii="Times New Roman" w:eastAsia="黑体" w:hAnsi="Times New Roman" w:cs="Times New Roman"/>
          <w:bCs/>
          <w:sz w:val="32"/>
          <w:szCs w:val="32"/>
        </w:rPr>
        <w:t>三、</w:t>
      </w:r>
      <w:r>
        <w:rPr>
          <w:rFonts w:ascii="Times New Roman" w:eastAsia="黑体" w:hAnsi="Times New Roman" w:cs="Times New Roman" w:hint="eastAsia"/>
          <w:bCs/>
          <w:sz w:val="32"/>
          <w:szCs w:val="32"/>
        </w:rPr>
        <w:t>部门财政支出管理</w:t>
      </w:r>
      <w:r>
        <w:rPr>
          <w:rFonts w:ascii="Times New Roman" w:eastAsia="黑体" w:hAnsi="Times New Roman" w:cs="Times New Roman"/>
          <w:bCs/>
          <w:sz w:val="32"/>
          <w:szCs w:val="32"/>
        </w:rPr>
        <w:t>情况</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一）预算编制情况：严格贯彻落实《预算法》、《会计法》、《行政单位会计制度》，把预决算编制作为财务管理工作的重要内容精心组织，抓好落实。按照编制通知的相关要求，遵循真实性、准确性、科学性，绩效性的原则，按时、按质、规范编制并报送预决算报表，主动公开。</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（二）执行管理情况：在资金使用上，严格遵守各项财经法规和财务管理制度规定，资金拨付有完整的审批程序和手续，支出符合部门预算批复的用途，无截留、挤占、挪用、虚列支出等情况。</w:t>
      </w:r>
      <w:r w:rsidR="00C243E3">
        <w:rPr>
          <w:rFonts w:ascii="Times New Roman" w:eastAsia="仿宋_GB2312" w:hAnsi="Times New Roman" w:cs="Times New Roman" w:hint="eastAsia"/>
          <w:sz w:val="32"/>
          <w:szCs w:val="32"/>
        </w:rPr>
        <w:t>202</w:t>
      </w:r>
      <w:r w:rsidR="00F5193F">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年继续贯彻落实中央八项规定、“基层减负年”、省、市、县各级关于厉行节约等有关文件精神，严格控制“三公”经费，规范公务接待管理，无擅自扩大公务接待范围的情况，</w:t>
      </w:r>
      <w:r>
        <w:rPr>
          <w:rFonts w:eastAsia="仿宋_GB2312" w:hint="eastAsia"/>
          <w:sz w:val="30"/>
          <w:szCs w:val="30"/>
        </w:rPr>
        <w:t>无公务用车购置及运行维护费和</w:t>
      </w:r>
      <w:r>
        <w:rPr>
          <w:rFonts w:ascii="Times New Roman" w:eastAsia="仿宋_GB2312" w:hAnsi="Times New Roman" w:cs="Times New Roman" w:hint="eastAsia"/>
          <w:sz w:val="32"/>
          <w:szCs w:val="32"/>
        </w:rPr>
        <w:t>因公出国（境）费用。</w:t>
      </w:r>
      <w:r>
        <w:rPr>
          <w:rFonts w:ascii="Times New Roman" w:eastAsia="仿宋_GB2312" w:hAnsi="Times New Roman" w:cs="Times New Roman" w:hint="eastAsia"/>
          <w:sz w:val="32"/>
          <w:szCs w:val="32"/>
        </w:rPr>
        <w:t> </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综合管理情况：按照财政及上级要求，对单位内部控制情况进行了评价并对照评价结果完善单位内部控制制度，进一步优化单位资产管理制度、预决算制度、收支管理制度等，确保经济业务流程更加规范。资金支付依据和开支标准合法合规，严格执行政府采购制度。财政收支预算执行得到较好的制度保障和实施效果。</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（四）整体绩效：部门整体支出绩效总体良好，各项目标基本达到相应时期执行进度，继续完善内部控制制度，使财政收支预算执行都得了良好的制度保障和实施效果。</w:t>
      </w:r>
      <w:r>
        <w:rPr>
          <w:rFonts w:ascii="Times New Roman" w:eastAsia="仿宋_GB2312" w:hAnsi="Times New Roman" w:cs="Times New Roman"/>
          <w:sz w:val="32"/>
          <w:szCs w:val="32"/>
        </w:rPr>
        <w:t xml:space="preserve"> </w:t>
      </w:r>
    </w:p>
    <w:p w:rsidR="00DF6FC9" w:rsidRDefault="00DF6FC9" w:rsidP="00DF6FC9">
      <w:pPr>
        <w:pStyle w:val="a3"/>
        <w:spacing w:line="600" w:lineRule="exact"/>
        <w:rPr>
          <w:rFonts w:ascii="Times New Roman" w:eastAsia="黑体" w:hAnsi="Times New Roman" w:cs="Times New Roman"/>
          <w:bCs/>
          <w:sz w:val="32"/>
          <w:szCs w:val="32"/>
        </w:rPr>
      </w:pPr>
      <w:r>
        <w:rPr>
          <w:rFonts w:ascii="Times New Roman" w:eastAsia="黑体" w:hAnsi="Times New Roman" w:cs="Times New Roman"/>
          <w:bCs/>
          <w:sz w:val="32"/>
          <w:szCs w:val="32"/>
        </w:rPr>
        <w:t>四、</w:t>
      </w:r>
      <w:r>
        <w:rPr>
          <w:rFonts w:ascii="Times New Roman" w:eastAsia="黑体" w:hAnsi="Times New Roman" w:cs="Times New Roman" w:hint="eastAsia"/>
          <w:bCs/>
          <w:sz w:val="32"/>
          <w:szCs w:val="32"/>
        </w:rPr>
        <w:t>评价结论及建议</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（一）</w:t>
      </w:r>
      <w:r>
        <w:rPr>
          <w:rFonts w:ascii="Times New Roman" w:eastAsia="仿宋_GB2312" w:hAnsi="Times New Roman" w:cs="Times New Roman" w:hint="eastAsia"/>
          <w:sz w:val="32"/>
          <w:szCs w:val="32"/>
        </w:rPr>
        <w:t>评价结论：部门整体支出绩效总体良好，各项目标基本达到相应时期执行进度。</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w:t>
      </w:r>
      <w:r>
        <w:rPr>
          <w:rFonts w:ascii="Times New Roman" w:eastAsia="仿宋_GB2312" w:hAnsi="Times New Roman" w:cs="Times New Roman" w:hint="eastAsia"/>
          <w:sz w:val="32"/>
          <w:szCs w:val="32"/>
        </w:rPr>
        <w:t>存在问题：预算编制不够细化。</w:t>
      </w:r>
    </w:p>
    <w:p w:rsidR="00DF6FC9" w:rsidRDefault="00DF6FC9" w:rsidP="00DF6FC9">
      <w:pPr>
        <w:pStyle w:val="a3"/>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（三）改进建议：进一步细化预算编制，严格按财政部门有关要求编制，使预算执行进度更切合实际。</w:t>
      </w:r>
    </w:p>
    <w:p w:rsidR="00C62734" w:rsidRDefault="004E1339"/>
    <w:sectPr w:rsidR="00C62734" w:rsidSect="00815C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339" w:rsidRDefault="004E1339" w:rsidP="00086D53">
      <w:r>
        <w:separator/>
      </w:r>
    </w:p>
  </w:endnote>
  <w:endnote w:type="continuationSeparator" w:id="0">
    <w:p w:rsidR="004E1339" w:rsidRDefault="004E1339" w:rsidP="00086D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charset w:val="86"/>
    <w:family w:val="auto"/>
    <w:pitch w:val="default"/>
    <w:sig w:usb0="00000000" w:usb1="00000000" w:usb2="00000000" w:usb3="00000000" w:csb0="00040000" w:csb1="00000000"/>
  </w:font>
  <w:font w:name="方正黑体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339" w:rsidRDefault="004E1339" w:rsidP="00086D53">
      <w:r>
        <w:separator/>
      </w:r>
    </w:p>
  </w:footnote>
  <w:footnote w:type="continuationSeparator" w:id="0">
    <w:p w:rsidR="004E1339" w:rsidRDefault="004E1339" w:rsidP="00086D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80BC3"/>
    <w:multiLevelType w:val="multilevel"/>
    <w:tmpl w:val="16380BC3"/>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6FC9"/>
    <w:rsid w:val="00086D53"/>
    <w:rsid w:val="00096995"/>
    <w:rsid w:val="00291622"/>
    <w:rsid w:val="00304A91"/>
    <w:rsid w:val="004E1339"/>
    <w:rsid w:val="0056390F"/>
    <w:rsid w:val="007B49AF"/>
    <w:rsid w:val="00815CA5"/>
    <w:rsid w:val="00892704"/>
    <w:rsid w:val="008C2145"/>
    <w:rsid w:val="00AA1FFA"/>
    <w:rsid w:val="00AD4530"/>
    <w:rsid w:val="00C243E3"/>
    <w:rsid w:val="00DF6FC9"/>
    <w:rsid w:val="00F111F1"/>
    <w:rsid w:val="00F519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F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F6FC9"/>
    <w:rPr>
      <w:rFonts w:ascii="宋体" w:hAnsi="Courier New" w:cs="Courier New"/>
      <w:szCs w:val="21"/>
    </w:rPr>
  </w:style>
  <w:style w:type="character" w:customStyle="1" w:styleId="Char">
    <w:name w:val="纯文本 Char"/>
    <w:basedOn w:val="a0"/>
    <w:link w:val="a3"/>
    <w:uiPriority w:val="99"/>
    <w:rsid w:val="00DF6FC9"/>
    <w:rPr>
      <w:rFonts w:ascii="宋体" w:hAnsi="Courier New" w:cs="Courier New"/>
      <w:szCs w:val="21"/>
    </w:rPr>
  </w:style>
  <w:style w:type="paragraph" w:styleId="a4">
    <w:name w:val="Normal (Web)"/>
    <w:basedOn w:val="a"/>
    <w:qFormat/>
    <w:rsid w:val="00DF6FC9"/>
    <w:pPr>
      <w:spacing w:line="360" w:lineRule="atLeast"/>
      <w:jc w:val="left"/>
    </w:pPr>
    <w:rPr>
      <w:rFonts w:ascii="微软雅黑" w:eastAsia="微软雅黑" w:hAnsi="微软雅黑" w:cs="Times New Roman" w:hint="eastAsia"/>
      <w:kern w:val="0"/>
      <w:szCs w:val="21"/>
    </w:rPr>
  </w:style>
  <w:style w:type="paragraph" w:styleId="a5">
    <w:name w:val="header"/>
    <w:basedOn w:val="a"/>
    <w:link w:val="Char0"/>
    <w:uiPriority w:val="99"/>
    <w:semiHidden/>
    <w:unhideWhenUsed/>
    <w:rsid w:val="00086D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086D53"/>
    <w:rPr>
      <w:sz w:val="18"/>
      <w:szCs w:val="18"/>
    </w:rPr>
  </w:style>
  <w:style w:type="paragraph" w:styleId="a6">
    <w:name w:val="footer"/>
    <w:basedOn w:val="a"/>
    <w:link w:val="Char1"/>
    <w:uiPriority w:val="99"/>
    <w:semiHidden/>
    <w:unhideWhenUsed/>
    <w:rsid w:val="00086D53"/>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086D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2022-10-18T02:28:00Z</dcterms:created>
  <dcterms:modified xsi:type="dcterms:W3CDTF">2022-10-18T02:33:00Z</dcterms:modified>
</cp:coreProperties>
</file>