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880" w:firstLineChars="200"/>
        <w:jc w:val="center"/>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攸县人民政府办公室</w:t>
      </w:r>
    </w:p>
    <w:p>
      <w:pPr>
        <w:pStyle w:val="2"/>
        <w:spacing w:line="600" w:lineRule="exact"/>
        <w:ind w:firstLine="880" w:firstLineChars="200"/>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21</w:t>
      </w:r>
      <w:r>
        <w:rPr>
          <w:rFonts w:hint="eastAsia" w:ascii="方正小标宋简体" w:hAnsi="方正小标宋简体" w:eastAsia="方正小标宋简体" w:cs="方正小标宋简体"/>
          <w:b w:val="0"/>
          <w:bCs/>
          <w:sz w:val="44"/>
          <w:szCs w:val="44"/>
        </w:rPr>
        <w:t>年部门整体支出绩效报告</w:t>
      </w:r>
    </w:p>
    <w:p>
      <w:pPr>
        <w:pStyle w:val="2"/>
        <w:spacing w:line="600" w:lineRule="exact"/>
        <w:ind w:firstLine="720" w:firstLineChars="200"/>
        <w:jc w:val="center"/>
        <w:rPr>
          <w:rFonts w:hint="default" w:ascii="Times New Roman" w:hAnsi="Times New Roman" w:eastAsia="方正小标宋简体" w:cs="Times New Roman"/>
          <w:b w:val="0"/>
          <w:bCs/>
          <w:sz w:val="36"/>
          <w:szCs w:val="36"/>
        </w:rPr>
      </w:pPr>
    </w:p>
    <w:p>
      <w:pPr>
        <w:pStyle w:val="2"/>
        <w:spacing w:line="600" w:lineRule="exact"/>
        <w:ind w:firstLine="640" w:firstLineChars="200"/>
        <w:jc w:val="both"/>
        <w:rPr>
          <w:rFonts w:hint="default" w:ascii="Times New Roman" w:hAnsi="Times New Roman" w:eastAsia="宋体" w:cs="Times New Roman"/>
          <w:sz w:val="30"/>
          <w:szCs w:val="30"/>
          <w:lang w:val="en-US" w:eastAsia="zh-CN"/>
        </w:rPr>
      </w:pPr>
      <w:r>
        <w:rPr>
          <w:rFonts w:hint="eastAsia" w:ascii="Times New Roman" w:hAnsi="Times New Roman" w:eastAsia="仿宋_GB2312" w:cs="Times New Roman"/>
          <w:kern w:val="2"/>
          <w:sz w:val="32"/>
          <w:szCs w:val="32"/>
          <w:lang w:val="en-US" w:eastAsia="zh-CN" w:bidi="ar-SA"/>
        </w:rPr>
        <w:t>根据《中华人民共和国预算法》和《攸县部门预算绩效管理工作考核办法》（攸财函［2019］33号）对本单位部门整体支出绩效工作汇报如下：</w:t>
      </w:r>
    </w:p>
    <w:p>
      <w:pPr>
        <w:pStyle w:val="2"/>
        <w:numPr>
          <w:ilvl w:val="0"/>
          <w:numId w:val="1"/>
        </w:numPr>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部门（单位）概况</w:t>
      </w:r>
    </w:p>
    <w:p>
      <w:pPr>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攸县人民政府办公室是县人民政府工作部门，为正科级全额拨款</w:t>
      </w:r>
      <w:r>
        <w:rPr>
          <w:rFonts w:hint="eastAsia" w:eastAsia="仿宋_GB2312"/>
          <w:sz w:val="32"/>
          <w:szCs w:val="32"/>
          <w:lang w:eastAsia="zh-CN"/>
        </w:rPr>
        <w:t>一级预算</w:t>
      </w:r>
      <w:r>
        <w:rPr>
          <w:rFonts w:hint="eastAsia" w:ascii="Times New Roman" w:hAnsi="Times New Roman" w:eastAsia="仿宋_GB2312"/>
          <w:sz w:val="32"/>
          <w:szCs w:val="32"/>
        </w:rPr>
        <w:t>行政单位，内设秘书室、综合调研室（研究室）、督查室（对外称县人民政府督查室）、政工室、信息室、机关事务管理室6个股室，管理股级公益一类事业单位县长热线事务中心</w:t>
      </w:r>
      <w:r>
        <w:rPr>
          <w:rFonts w:hint="eastAsia" w:eastAsia="仿宋_GB2312"/>
          <w:sz w:val="32"/>
          <w:szCs w:val="32"/>
          <w:lang w:eastAsia="zh-CN"/>
        </w:rPr>
        <w:t>。</w:t>
      </w:r>
      <w:r>
        <w:rPr>
          <w:rFonts w:hint="eastAsia" w:ascii="Times New Roman" w:hAnsi="Times New Roman" w:eastAsia="仿宋_GB2312"/>
          <w:sz w:val="32"/>
          <w:szCs w:val="32"/>
        </w:rPr>
        <w:t>现有</w:t>
      </w:r>
      <w:r>
        <w:rPr>
          <w:rFonts w:hint="eastAsia" w:eastAsia="仿宋_GB2312"/>
          <w:sz w:val="32"/>
          <w:szCs w:val="32"/>
          <w:lang w:eastAsia="zh-CN"/>
        </w:rPr>
        <w:t>人员</w:t>
      </w:r>
      <w:r>
        <w:rPr>
          <w:rFonts w:hint="eastAsia" w:eastAsia="仿宋_GB2312"/>
          <w:sz w:val="32"/>
          <w:szCs w:val="32"/>
          <w:lang w:val="en-US" w:eastAsia="zh-CN"/>
        </w:rPr>
        <w:t>90人，其中，</w:t>
      </w:r>
      <w:r>
        <w:rPr>
          <w:rFonts w:hint="eastAsia" w:ascii="Times New Roman" w:hAnsi="Times New Roman" w:eastAsia="仿宋_GB2312"/>
          <w:sz w:val="32"/>
          <w:szCs w:val="32"/>
        </w:rPr>
        <w:t>在职人员</w:t>
      </w:r>
      <w:r>
        <w:rPr>
          <w:rFonts w:hint="eastAsia" w:eastAsia="仿宋_GB2312"/>
          <w:sz w:val="32"/>
          <w:szCs w:val="32"/>
          <w:lang w:val="en-US" w:eastAsia="zh-CN"/>
        </w:rPr>
        <w:t>43</w:t>
      </w:r>
      <w:r>
        <w:rPr>
          <w:rFonts w:hint="eastAsia" w:ascii="Times New Roman" w:hAnsi="Times New Roman" w:eastAsia="仿宋_GB2312"/>
          <w:sz w:val="32"/>
          <w:szCs w:val="32"/>
        </w:rPr>
        <w:t>人，</w:t>
      </w:r>
      <w:r>
        <w:rPr>
          <w:rFonts w:hint="eastAsia" w:eastAsia="仿宋_GB2312"/>
          <w:sz w:val="32"/>
          <w:szCs w:val="32"/>
          <w:lang w:eastAsia="zh-CN"/>
        </w:rPr>
        <w:t>劳务派遣人员</w:t>
      </w:r>
      <w:r>
        <w:rPr>
          <w:rFonts w:hint="eastAsia" w:eastAsia="仿宋_GB2312"/>
          <w:sz w:val="32"/>
          <w:szCs w:val="32"/>
          <w:lang w:val="en-US" w:eastAsia="zh-CN"/>
        </w:rPr>
        <w:t>5</w:t>
      </w:r>
      <w:r>
        <w:rPr>
          <w:rFonts w:hint="eastAsia" w:ascii="Times New Roman" w:hAnsi="Times New Roman" w:eastAsia="仿宋_GB2312"/>
          <w:sz w:val="32"/>
          <w:szCs w:val="32"/>
        </w:rPr>
        <w:t>人，借调人员9人，退休人员</w:t>
      </w:r>
      <w:r>
        <w:rPr>
          <w:rFonts w:hint="eastAsia" w:eastAsia="仿宋_GB2312"/>
          <w:sz w:val="32"/>
          <w:szCs w:val="32"/>
          <w:lang w:val="en-US" w:eastAsia="zh-CN"/>
        </w:rPr>
        <w:t>33</w:t>
      </w:r>
      <w:r>
        <w:rPr>
          <w:rFonts w:hint="eastAsia" w:ascii="Times New Roman" w:hAnsi="Times New Roman" w:eastAsia="仿宋_GB2312"/>
          <w:sz w:val="32"/>
          <w:szCs w:val="32"/>
        </w:rPr>
        <w:t>人</w:t>
      </w:r>
      <w:r>
        <w:rPr>
          <w:rFonts w:hint="eastAsia" w:eastAsia="仿宋_GB2312"/>
          <w:sz w:val="32"/>
          <w:szCs w:val="32"/>
          <w:lang w:val="en-US" w:eastAsia="zh-CN"/>
        </w:rPr>
        <w:t>。</w:t>
      </w:r>
      <w:r>
        <w:rPr>
          <w:rFonts w:hint="eastAsia" w:eastAsia="仿宋_GB2312"/>
          <w:sz w:val="32"/>
          <w:szCs w:val="32"/>
          <w:lang w:eastAsia="zh-CN"/>
        </w:rPr>
        <w:t>单位主要职责如下：</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（一）负责起草或审核以攸县人民政府、攸县人民政府办公室名义发布的公文。</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（二）研究县人民政府各部门和乡镇人民政府（街道办事处）请示县人民政府的问题，提出审核意见，报县人民政府领导审批。</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（三）负责县人民政府会议、公务活动的筹备和组织工作，协助县人民政府领导组织会议决定事项的实施。</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（四）根据县人民政府领导的指示或办理公文的需要，对县人民政府部门间有争议的问题提出处理意见，报县人民政府领导决定。</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（五）负责对国务院、省、市、县人民政府重要决定、决策和县人民政府领导有关指示的执行落实情况进行督查并跟踪调研，及时向县人民政府领导报告。</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（六）协助县人民政府领导组织处理需由县人民政府直接处理的突发事件和重大事故；负责向市人民政府和县人民政府领导同志报告重要信息和情况；负责县人民政府值班工作。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（七）负责指导、协调、监督全县政务公开，政府信息公开工作，负责政府门户网站建设、县长热线和信箱处理等有关工作，协调县人民政府机关计算机网络和设施的建设及运行维护工作。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（八）负责起草县人民政府领导的重要报告和讲话。</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（九）负责组织办理人大代表建议、政协委员提案。</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（十）负责政务信息的编报和审核及全县政府系统信息工作的业务指导和培训，负责及时向省市政府门户网站报送信息。</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一）根据县人民政府领导的批示和县人民政府的工作部署，对涉及全县经济建设、社会发展和社会稳定等全局性工作的重大课题进行调查研究，及时反映情况，提出对策建议。指导协调全县政府系统的调研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（十二）负责指导、协调全县农村人居环境整治等相关服务工作。</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三）指导县直机关和乡镇人民政府（街道办事处）公务用车、公务接待、公共机构节约能源等机关事务统一管理工作，建立健全管理制度和标准；推进政府机关后勤服务、公务用车和公务接待服务等工作的社会化改革；加强对机关事务工作的监督检查。</w:t>
      </w:r>
    </w:p>
    <w:p>
      <w:pPr>
        <w:spacing w:line="600" w:lineRule="exact"/>
        <w:ind w:firstLine="640" w:firstLineChars="200"/>
        <w:rPr>
          <w:rFonts w:hint="default" w:ascii="Times New Roman" w:hAnsi="Times New Roman" w:eastAsia="仿宋_GB2312"/>
          <w:sz w:val="32"/>
          <w:szCs w:val="32"/>
        </w:rPr>
      </w:pPr>
      <w:r>
        <w:rPr>
          <w:rFonts w:hint="eastAsia" w:ascii="Times New Roman" w:hAnsi="Times New Roman" w:eastAsia="仿宋_GB2312"/>
          <w:sz w:val="32"/>
          <w:szCs w:val="32"/>
        </w:rPr>
        <w:t>（十四）完成县委、县人民政府交办的其他工作任务。</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二、部门财政资金收支情况</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（一）收入</w:t>
      </w:r>
      <w:r>
        <w:rPr>
          <w:rFonts w:hint="eastAsia" w:ascii="Times New Roman" w:hAnsi="Times New Roman" w:eastAsia="仿宋_GB2312" w:cs="Times New Roman"/>
          <w:kern w:val="2"/>
          <w:sz w:val="32"/>
          <w:szCs w:val="32"/>
          <w:lang w:val="en-US" w:eastAsia="zh-CN" w:bidi="ar-SA"/>
        </w:rPr>
        <w:t>1018.32</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w:t>
      </w:r>
      <w:r>
        <w:rPr>
          <w:rFonts w:hint="eastAsia" w:ascii="Times New Roman" w:hAnsi="Times New Roman" w:eastAsia="仿宋_GB2312" w:cs="Times New Roman"/>
          <w:kern w:val="2"/>
          <w:sz w:val="32"/>
          <w:szCs w:val="32"/>
          <w:lang w:val="en-US" w:eastAsia="zh-CN" w:bidi="ar-SA"/>
        </w:rPr>
        <w:t>2021年我单位一般公共预算财政拨款收入1018.32万元。</w:t>
      </w:r>
    </w:p>
    <w:p>
      <w:pPr>
        <w:pStyle w:val="2"/>
        <w:numPr>
          <w:ilvl w:val="0"/>
          <w:numId w:val="2"/>
        </w:numPr>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支出</w:t>
      </w:r>
      <w:r>
        <w:rPr>
          <w:rFonts w:hint="eastAsia" w:ascii="Times New Roman" w:hAnsi="Times New Roman" w:eastAsia="仿宋_GB2312" w:cs="Times New Roman"/>
          <w:kern w:val="2"/>
          <w:sz w:val="32"/>
          <w:szCs w:val="32"/>
          <w:lang w:val="en-US" w:eastAsia="zh-CN" w:bidi="ar-SA"/>
        </w:rPr>
        <w:t>1018.32</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 xml:space="preserve">      其中：</w:t>
      </w:r>
      <w:r>
        <w:rPr>
          <w:rFonts w:hint="eastAsia" w:ascii="Times New Roman" w:hAnsi="Times New Roman" w:eastAsia="仿宋_GB2312" w:cs="Times New Roman"/>
          <w:kern w:val="2"/>
          <w:sz w:val="32"/>
          <w:szCs w:val="32"/>
          <w:lang w:val="en-US" w:eastAsia="zh-CN" w:bidi="ar-SA"/>
        </w:rPr>
        <w:t>基本支出978.66</w:t>
      </w:r>
      <w:r>
        <w:rPr>
          <w:rFonts w:hint="default" w:ascii="Times New Roman" w:hAnsi="Times New Roman" w:eastAsia="仿宋_GB2312" w:cs="Times New Roman"/>
          <w:kern w:val="2"/>
          <w:sz w:val="32"/>
          <w:szCs w:val="32"/>
          <w:lang w:val="en-US" w:eastAsia="zh-CN" w:bidi="ar-SA"/>
        </w:rPr>
        <w:t>万元</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项目支出39.66万元</w:t>
      </w:r>
      <w:bookmarkStart w:id="0" w:name="_GoBack"/>
      <w:bookmarkEnd w:id="0"/>
    </w:p>
    <w:p>
      <w:pPr>
        <w:pStyle w:val="2"/>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三、部门财政支出管理情况</w:t>
      </w:r>
    </w:p>
    <w:p>
      <w:pPr>
        <w:pStyle w:val="2"/>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（一）预算编制情况。</w:t>
      </w:r>
    </w:p>
    <w:p>
      <w:pPr>
        <w:pStyle w:val="2"/>
        <w:numPr>
          <w:ilvl w:val="0"/>
          <w:numId w:val="0"/>
        </w:numPr>
        <w:spacing w:line="60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2021年单位年初预算1061万元，其中，财政拨款预算927万元，其他收入预算134万元。我单位预算严格按照《中华人民共和国预算法》等有关管理规定编制。预算编制准确，部门整体绩效目标编制完整合理。</w:t>
      </w:r>
    </w:p>
    <w:p>
      <w:pPr>
        <w:pStyle w:val="2"/>
        <w:numPr>
          <w:ilvl w:val="0"/>
          <w:numId w:val="0"/>
        </w:numPr>
        <w:spacing w:line="600" w:lineRule="exact"/>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kern w:val="2"/>
          <w:sz w:val="32"/>
          <w:szCs w:val="32"/>
          <w:lang w:val="en-US" w:eastAsia="zh-CN" w:bidi="ar-SA"/>
        </w:rPr>
        <w:t xml:space="preserve">执行管理情况。 </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default" w:ascii="Times New Roman" w:hAnsi="Times New Roman" w:eastAsia="仿宋_GB2312" w:cs="Times New Roman"/>
          <w:kern w:val="2"/>
          <w:sz w:val="32"/>
          <w:szCs w:val="32"/>
          <w:lang w:val="en-US" w:eastAsia="zh-CN" w:bidi="ar-SA"/>
        </w:rPr>
      </w:pPr>
      <w:r>
        <w:rPr>
          <w:rFonts w:hint="eastAsia" w:ascii="仿宋_GB2312" w:hAnsi="黑体" w:eastAsia="仿宋_GB2312" w:cstheme="minorBidi"/>
          <w:kern w:val="2"/>
          <w:sz w:val="32"/>
          <w:szCs w:val="32"/>
          <w:lang w:val="en-US" w:eastAsia="zh-CN" w:bidi="ar-SA"/>
        </w:rPr>
        <w:t>本单位严格依照《预算法》、《会计法》等法律法规和国家相关财经制度规定，建立健全了财务人员岗位职责和内审制度，有力地促进了财务管理的制度化、规范化。本着厉行节约的原则，合理安排使用预算资金，有效地保证了机构正常运转的经费需要。</w:t>
      </w:r>
      <w:r>
        <w:rPr>
          <w:rFonts w:hint="eastAsia" w:ascii="Times New Roman" w:hAnsi="Times New Roman" w:eastAsia="仿宋_GB2312" w:cs="Times New Roman"/>
          <w:kern w:val="2"/>
          <w:sz w:val="32"/>
          <w:szCs w:val="32"/>
          <w:lang w:val="en-US" w:eastAsia="zh-CN" w:bidi="ar-SA"/>
        </w:rPr>
        <w:t>202</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年实际支出</w:t>
      </w:r>
      <w:r>
        <w:rPr>
          <w:rFonts w:hint="eastAsia" w:eastAsia="仿宋_GB2312" w:cs="Times New Roman"/>
          <w:kern w:val="2"/>
          <w:sz w:val="32"/>
          <w:szCs w:val="32"/>
          <w:lang w:val="en-US" w:eastAsia="zh-CN" w:bidi="ar-SA"/>
        </w:rPr>
        <w:t>1018.32</w:t>
      </w:r>
      <w:r>
        <w:rPr>
          <w:rFonts w:hint="eastAsia" w:ascii="Times New Roman" w:hAnsi="Times New Roman" w:eastAsia="仿宋_GB2312" w:cs="Times New Roman"/>
          <w:kern w:val="2"/>
          <w:sz w:val="32"/>
          <w:szCs w:val="32"/>
          <w:lang w:val="en-US" w:eastAsia="zh-CN" w:bidi="ar-SA"/>
        </w:rPr>
        <w:t>万元。其中，基本支出</w:t>
      </w:r>
      <w:r>
        <w:rPr>
          <w:rFonts w:hint="eastAsia" w:eastAsia="仿宋_GB2312" w:cs="Times New Roman"/>
          <w:kern w:val="2"/>
          <w:sz w:val="32"/>
          <w:szCs w:val="32"/>
          <w:lang w:val="en-US" w:eastAsia="zh-CN" w:bidi="ar-SA"/>
        </w:rPr>
        <w:t>978.66</w:t>
      </w:r>
      <w:r>
        <w:rPr>
          <w:rFonts w:hint="eastAsia" w:ascii="Times New Roman" w:hAnsi="Times New Roman" w:eastAsia="仿宋_GB2312" w:cs="Times New Roman"/>
          <w:kern w:val="2"/>
          <w:sz w:val="32"/>
          <w:szCs w:val="32"/>
          <w:lang w:val="en-US" w:eastAsia="zh-CN" w:bidi="ar-SA"/>
        </w:rPr>
        <w:t>万元，项目支出</w:t>
      </w:r>
      <w:r>
        <w:rPr>
          <w:rFonts w:hint="eastAsia" w:eastAsia="仿宋_GB2312" w:cs="Times New Roman"/>
          <w:kern w:val="2"/>
          <w:sz w:val="32"/>
          <w:szCs w:val="32"/>
          <w:lang w:val="en-US" w:eastAsia="zh-CN" w:bidi="ar-SA"/>
        </w:rPr>
        <w:t>39.66</w:t>
      </w:r>
      <w:r>
        <w:rPr>
          <w:rFonts w:hint="eastAsia" w:ascii="Times New Roman" w:hAnsi="Times New Roman" w:eastAsia="仿宋_GB2312" w:cs="Times New Roman"/>
          <w:kern w:val="2"/>
          <w:sz w:val="32"/>
          <w:szCs w:val="32"/>
          <w:lang w:val="en-US" w:eastAsia="zh-CN" w:bidi="ar-SA"/>
        </w:rPr>
        <w:t>万元。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（三）综合管理情况。</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为加强机关财务管理，有效地管理和使用机关经费，保证机关正常运转，根据行政单位财务管理制度和《党政机关厉行节约反对浪费条例》的要求，结合</w:t>
      </w:r>
      <w:r>
        <w:rPr>
          <w:rFonts w:hint="eastAsia" w:ascii="仿宋_GB2312" w:hAnsi="黑体" w:eastAsia="仿宋_GB2312" w:cstheme="minorBidi"/>
          <w:kern w:val="2"/>
          <w:sz w:val="32"/>
          <w:szCs w:val="32"/>
          <w:lang w:val="en-US" w:eastAsia="zh-CN" w:bidi="ar-SA"/>
        </w:rPr>
        <w:t>本</w:t>
      </w:r>
      <w:r>
        <w:rPr>
          <w:rFonts w:hint="default" w:ascii="仿宋_GB2312" w:hAnsi="黑体" w:eastAsia="仿宋_GB2312" w:cstheme="minorBidi"/>
          <w:kern w:val="2"/>
          <w:sz w:val="32"/>
          <w:szCs w:val="32"/>
          <w:lang w:val="en-US" w:eastAsia="zh-CN" w:bidi="ar-SA"/>
        </w:rPr>
        <w:t>单位实际，坚持“以收定支、收支平衡”，严格控制支出预算。 </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（1）政府采购管理：</w:t>
      </w:r>
      <w:r>
        <w:rPr>
          <w:rFonts w:hint="default" w:ascii="仿宋_GB2312" w:hAnsi="黑体" w:eastAsia="仿宋_GB2312" w:cstheme="minorBidi"/>
          <w:kern w:val="2"/>
          <w:sz w:val="32"/>
          <w:szCs w:val="32"/>
          <w:lang w:val="zh-CN" w:eastAsia="zh-CN" w:bidi="ar-SA"/>
        </w:rPr>
        <w:t>严格执行政府采购制度，</w:t>
      </w:r>
      <w:r>
        <w:rPr>
          <w:rFonts w:hint="default" w:ascii="仿宋_GB2312" w:hAnsi="黑体" w:eastAsia="仿宋_GB2312" w:cstheme="minorBidi"/>
          <w:kern w:val="2"/>
          <w:sz w:val="32"/>
          <w:szCs w:val="32"/>
          <w:lang w:val="en-US" w:eastAsia="zh-CN" w:bidi="ar-SA"/>
        </w:rPr>
        <w:t>在</w:t>
      </w:r>
      <w:r>
        <w:rPr>
          <w:rFonts w:hint="eastAsia" w:ascii="仿宋_GB2312" w:hAnsi="黑体" w:eastAsia="仿宋_GB2312" w:cstheme="minorBidi"/>
          <w:kern w:val="2"/>
          <w:sz w:val="32"/>
          <w:szCs w:val="32"/>
          <w:lang w:val="en-US" w:eastAsia="zh-CN" w:bidi="ar-SA"/>
        </w:rPr>
        <w:t>购置</w:t>
      </w:r>
      <w:r>
        <w:rPr>
          <w:rFonts w:hint="default" w:ascii="仿宋_GB2312" w:hAnsi="黑体" w:eastAsia="仿宋_GB2312" w:cstheme="minorBidi"/>
          <w:kern w:val="2"/>
          <w:sz w:val="32"/>
          <w:szCs w:val="32"/>
          <w:lang w:val="en-US" w:eastAsia="zh-CN" w:bidi="ar-SA"/>
        </w:rPr>
        <w:t>办公设备时办理了相关政府采购手续，实行定点采购，转账支付</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实施计划与政府采购预算一致</w:t>
      </w:r>
      <w:r>
        <w:rPr>
          <w:rFonts w:hint="eastAsia" w:ascii="仿宋_GB2312" w:hAnsi="黑体" w:eastAsia="仿宋_GB2312" w:cstheme="minorBidi"/>
          <w:kern w:val="2"/>
          <w:sz w:val="32"/>
          <w:szCs w:val="32"/>
          <w:lang w:val="en-US" w:eastAsia="zh-CN" w:bidi="ar-SA"/>
        </w:rPr>
        <w:t>。</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（2）资产管理：建立健全</w:t>
      </w:r>
      <w:r>
        <w:rPr>
          <w:rFonts w:hint="eastAsia" w:ascii="仿宋_GB2312" w:hAnsi="黑体" w:eastAsia="仿宋_GB2312" w:cstheme="minorBidi"/>
          <w:kern w:val="2"/>
          <w:sz w:val="32"/>
          <w:szCs w:val="32"/>
          <w:lang w:val="en-US" w:eastAsia="zh-CN" w:bidi="ar-SA"/>
        </w:rPr>
        <w:t>了</w:t>
      </w:r>
      <w:r>
        <w:rPr>
          <w:rFonts w:hint="default" w:ascii="仿宋_GB2312" w:hAnsi="黑体" w:eastAsia="仿宋_GB2312" w:cstheme="minorBidi"/>
          <w:kern w:val="2"/>
          <w:sz w:val="32"/>
          <w:szCs w:val="32"/>
          <w:lang w:val="en-US" w:eastAsia="zh-CN" w:bidi="ar-SA"/>
        </w:rPr>
        <w:t>资产内部管理制度，</w:t>
      </w:r>
      <w:r>
        <w:rPr>
          <w:rFonts w:hint="eastAsia" w:ascii="仿宋_GB2312" w:hAnsi="黑体" w:eastAsia="仿宋_GB2312" w:cstheme="minorBidi"/>
          <w:kern w:val="2"/>
          <w:sz w:val="32"/>
          <w:szCs w:val="32"/>
          <w:lang w:val="en-US" w:eastAsia="zh-CN" w:bidi="ar-SA"/>
        </w:rPr>
        <w:t>对所有固定</w:t>
      </w:r>
      <w:r>
        <w:rPr>
          <w:rFonts w:hint="default" w:ascii="仿宋_GB2312" w:hAnsi="黑体" w:eastAsia="仿宋_GB2312" w:cstheme="minorBidi"/>
          <w:kern w:val="2"/>
          <w:sz w:val="32"/>
          <w:szCs w:val="32"/>
          <w:lang w:val="en-US" w:eastAsia="zh-CN" w:bidi="ar-SA"/>
        </w:rPr>
        <w:t>资产实行分类管理</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强化对</w:t>
      </w:r>
      <w:r>
        <w:rPr>
          <w:rFonts w:hint="eastAsia" w:ascii="仿宋_GB2312" w:hAnsi="黑体" w:eastAsia="仿宋_GB2312" w:cstheme="minorBidi"/>
          <w:kern w:val="2"/>
          <w:sz w:val="32"/>
          <w:szCs w:val="32"/>
          <w:lang w:val="en-US" w:eastAsia="zh-CN" w:bidi="ar-SA"/>
        </w:rPr>
        <w:t>固定资产的</w:t>
      </w:r>
      <w:r>
        <w:rPr>
          <w:rFonts w:hint="default" w:ascii="仿宋_GB2312" w:hAnsi="黑体" w:eastAsia="仿宋_GB2312" w:cstheme="minorBidi"/>
          <w:kern w:val="2"/>
          <w:sz w:val="32"/>
          <w:szCs w:val="32"/>
          <w:lang w:val="en-US" w:eastAsia="zh-CN" w:bidi="ar-SA"/>
        </w:rPr>
        <w:t>配置、使用</w:t>
      </w:r>
      <w:r>
        <w:rPr>
          <w:rFonts w:hint="eastAsia" w:ascii="仿宋_GB2312" w:hAnsi="黑体" w:eastAsia="仿宋_GB2312" w:cstheme="minorBidi"/>
          <w:kern w:val="2"/>
          <w:sz w:val="32"/>
          <w:szCs w:val="32"/>
          <w:lang w:val="en-US" w:eastAsia="zh-CN" w:bidi="ar-SA"/>
        </w:rPr>
        <w:t>、</w:t>
      </w:r>
      <w:r>
        <w:rPr>
          <w:rFonts w:hint="default" w:ascii="仿宋_GB2312" w:hAnsi="黑体" w:eastAsia="仿宋_GB2312" w:cstheme="minorBidi"/>
          <w:kern w:val="2"/>
          <w:sz w:val="32"/>
          <w:szCs w:val="32"/>
          <w:lang w:val="en-US" w:eastAsia="zh-CN" w:bidi="ar-SA"/>
        </w:rPr>
        <w:t>处置等关键环节的管控</w:t>
      </w:r>
      <w:r>
        <w:rPr>
          <w:rFonts w:hint="eastAsia" w:ascii="仿宋_GB2312" w:hAnsi="黑体" w:eastAsia="仿宋_GB2312" w:cstheme="minorBidi"/>
          <w:kern w:val="2"/>
          <w:sz w:val="32"/>
          <w:szCs w:val="32"/>
          <w:lang w:val="en-US" w:eastAsia="zh-CN" w:bidi="ar-SA"/>
        </w:rPr>
        <w:t>，定期开展</w:t>
      </w:r>
      <w:r>
        <w:rPr>
          <w:rFonts w:hint="default" w:ascii="仿宋_GB2312" w:hAnsi="黑体" w:eastAsia="仿宋_GB2312" w:cstheme="minorBidi"/>
          <w:kern w:val="2"/>
          <w:sz w:val="32"/>
          <w:szCs w:val="32"/>
          <w:lang w:val="en-US" w:eastAsia="zh-CN" w:bidi="ar-SA"/>
        </w:rPr>
        <w:t>资产清查工作</w:t>
      </w:r>
      <w:r>
        <w:rPr>
          <w:rFonts w:hint="eastAsia" w:ascii="仿宋_GB2312" w:hAnsi="黑体" w:eastAsia="仿宋_GB2312" w:cstheme="minorBidi"/>
          <w:kern w:val="2"/>
          <w:sz w:val="32"/>
          <w:szCs w:val="32"/>
          <w:lang w:val="en-US" w:eastAsia="zh-CN" w:bidi="ar-SA"/>
        </w:rPr>
        <w:t>，确保账实相符。</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3）信息公开：在财政部门批复后二十日内向社会公开本部门预决算（含所有财政资金安排的“三公”经费、机关运行经费的安排、使用情况等），同时，按要求公开部门整体支出绩效自评报告及其他按要求应公开的信息。</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（四）整体</w:t>
      </w:r>
      <w:r>
        <w:rPr>
          <w:rFonts w:hint="default" w:ascii="仿宋_GB2312" w:hAnsi="黑体" w:eastAsia="仿宋_GB2312" w:cstheme="minorBidi"/>
          <w:kern w:val="2"/>
          <w:sz w:val="32"/>
          <w:szCs w:val="32"/>
          <w:lang w:val="en-US" w:eastAsia="zh-CN" w:bidi="ar-SA"/>
        </w:rPr>
        <w:t>绩效</w:t>
      </w:r>
      <w:r>
        <w:rPr>
          <w:rFonts w:hint="eastAsia" w:ascii="仿宋_GB2312" w:hAnsi="黑体" w:eastAsia="仿宋_GB2312" w:cstheme="minorBidi"/>
          <w:kern w:val="2"/>
          <w:sz w:val="32"/>
          <w:szCs w:val="32"/>
          <w:lang w:val="en-US" w:eastAsia="zh-CN" w:bidi="ar-SA"/>
        </w:rPr>
        <w:t>。</w:t>
      </w:r>
    </w:p>
    <w:p>
      <w:pPr>
        <w:pStyle w:val="3"/>
        <w:keepNext w:val="0"/>
        <w:keepLines w:val="0"/>
        <w:pageBreakBefore w:val="0"/>
        <w:widowControl/>
        <w:suppressLineNumbers w:val="0"/>
        <w:kinsoku/>
        <w:wordWrap/>
        <w:overflowPunct/>
        <w:topLinePunct w:val="0"/>
        <w:autoSpaceDE/>
        <w:autoSpaceDN/>
        <w:bidi w:val="0"/>
        <w:snapToGrid/>
        <w:spacing w:before="0" w:beforeAutospacing="0" w:after="0" w:afterAutospacing="0" w:line="600" w:lineRule="exact"/>
        <w:ind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2021年我单位能根据《中华人民共和国预算法》科学编制部门预算，同步申报绩效目标和相关内容。通过建立绩效跟踪监控制度，强化预算收支绩效管理，根据部门整体支出绩效评价指标体系，经采集绩效运行的信息并进行汇总分析，我单位2021年度评价得分为100分。</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default" w:ascii="仿宋_GB2312" w:hAnsi="黑体" w:eastAsia="仿宋_GB2312" w:cstheme="minorBidi"/>
          <w:kern w:val="2"/>
          <w:sz w:val="32"/>
          <w:szCs w:val="32"/>
          <w:lang w:val="zh-CN" w:eastAsia="zh-CN" w:bidi="ar-SA"/>
        </w:rPr>
      </w:pPr>
      <w:r>
        <w:rPr>
          <w:rFonts w:hint="eastAsia" w:ascii="方正黑体简体" w:hAnsi="方正黑体简体" w:eastAsia="方正黑体简体" w:cs="方正黑体简体"/>
          <w:kern w:val="2"/>
          <w:sz w:val="32"/>
          <w:szCs w:val="32"/>
          <w:lang w:val="en-US" w:eastAsia="zh-CN" w:bidi="ar-SA"/>
        </w:rPr>
        <w:t>四、评价结论及建议</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（一）评价结论：</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我单位高度重视预算绩效管理工作，树立“花钱必问效，无效必问责”的理念，通过定期报表等方式，强化绩效跟综监控，确保预算执行进度和绩效目标的如期实现。2021年支出总额控制在预算总额以内，年初单位预算1061万元，年终支出决算1018.32万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Chars="200" w:right="0" w:rightChars="0" w:firstLine="320" w:firstLineChars="1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（二）</w:t>
      </w:r>
      <w:r>
        <w:rPr>
          <w:rFonts w:hint="default" w:ascii="仿宋_GB2312" w:hAnsi="黑体" w:eastAsia="仿宋_GB2312" w:cstheme="minorBidi"/>
          <w:kern w:val="2"/>
          <w:sz w:val="32"/>
          <w:szCs w:val="32"/>
          <w:lang w:val="en-US" w:eastAsia="zh-CN" w:bidi="ar-SA"/>
        </w:rPr>
        <w:t>存在问题：</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（1）</w:t>
      </w:r>
      <w:r>
        <w:rPr>
          <w:rFonts w:hint="default" w:ascii="仿宋_GB2312" w:hAnsi="黑体" w:eastAsia="仿宋_GB2312" w:cstheme="minorBidi"/>
          <w:kern w:val="2"/>
          <w:sz w:val="32"/>
          <w:szCs w:val="32"/>
          <w:lang w:val="en-US" w:eastAsia="zh-CN" w:bidi="ar-SA"/>
        </w:rPr>
        <w:t>预算编制有待</w:t>
      </w:r>
      <w:r>
        <w:rPr>
          <w:rFonts w:hint="eastAsia" w:ascii="仿宋_GB2312" w:hAnsi="黑体" w:eastAsia="仿宋_GB2312" w:cstheme="minorBidi"/>
          <w:kern w:val="2"/>
          <w:sz w:val="32"/>
          <w:szCs w:val="32"/>
          <w:lang w:val="en-US" w:eastAsia="zh-CN" w:bidi="ar-SA"/>
        </w:rPr>
        <w:t>进一步细化，未具体落实到机关各使用科室；</w:t>
      </w:r>
    </w:p>
    <w:p>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600" w:lineRule="exact"/>
        <w:ind w:left="0" w:right="0" w:rightChars="0" w:firstLine="640" w:firstLineChars="200"/>
        <w:jc w:val="left"/>
        <w:textAlignment w:val="auto"/>
        <w:outlineLvl w:val="9"/>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（2）在部门预算绩效管理工作中未将其作为单位重要的日常性工作来抓，有效跟综监控未定期。</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640" w:firstLineChars="200"/>
        <w:jc w:val="left"/>
        <w:textAlignment w:val="auto"/>
        <w:rPr>
          <w:rFonts w:hint="default" w:ascii="仿宋_GB2312" w:hAnsi="黑体" w:eastAsia="仿宋_GB2312" w:cstheme="minorBidi"/>
          <w:kern w:val="2"/>
          <w:sz w:val="32"/>
          <w:szCs w:val="32"/>
          <w:lang w:val="en-US" w:eastAsia="zh-CN" w:bidi="ar-SA"/>
        </w:rPr>
      </w:pPr>
      <w:r>
        <w:rPr>
          <w:rFonts w:hint="default" w:ascii="仿宋_GB2312" w:hAnsi="黑体" w:eastAsia="仿宋_GB2312" w:cstheme="minorBidi"/>
          <w:kern w:val="2"/>
          <w:sz w:val="32"/>
          <w:szCs w:val="32"/>
          <w:lang w:val="en-US" w:eastAsia="zh-CN" w:bidi="ar-SA"/>
        </w:rPr>
        <w:t>改进建议：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360" w:leftChars="0" w:right="-42" w:rightChars="0" w:firstLine="640" w:firstLineChars="200"/>
        <w:jc w:val="left"/>
        <w:textAlignment w:val="auto"/>
        <w:rPr>
          <w:rFonts w:hint="eastAsia"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1.</w:t>
      </w:r>
      <w:r>
        <w:rPr>
          <w:rFonts w:hint="default" w:ascii="仿宋_GB2312" w:hAnsi="黑体" w:eastAsia="仿宋_GB2312" w:cstheme="minorBidi"/>
          <w:kern w:val="2"/>
          <w:sz w:val="32"/>
          <w:szCs w:val="32"/>
          <w:lang w:val="en-US" w:eastAsia="zh-CN" w:bidi="ar-SA"/>
        </w:rPr>
        <w:t>加强预算编制管理，</w:t>
      </w:r>
      <w:r>
        <w:rPr>
          <w:rFonts w:hint="eastAsia" w:ascii="仿宋_GB2312" w:hAnsi="黑体" w:eastAsia="仿宋_GB2312" w:cstheme="minorBidi"/>
          <w:kern w:val="2"/>
          <w:sz w:val="32"/>
          <w:szCs w:val="32"/>
          <w:lang w:val="en-US" w:eastAsia="zh-CN" w:bidi="ar-SA"/>
        </w:rPr>
        <w:t>进一步分解、细化各项支出，落实到具体使用部门，做到精细化管理，确保绩效目标的实现。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960" w:firstLineChars="3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2.强化绩效管理日常化，对预算执行过程以及资金使用情况进行适时跟踪监控，及时调整、纠正偏离绩效目标的各项支出。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42" w:firstLine="640" w:firstLineChars="200"/>
        <w:jc w:val="left"/>
        <w:textAlignment w:val="auto"/>
        <w:rPr>
          <w:rFonts w:hint="default" w:ascii="仿宋_GB2312" w:hAnsi="黑体" w:eastAsia="仿宋_GB2312" w:cstheme="minorBidi"/>
          <w:kern w:val="2"/>
          <w:sz w:val="32"/>
          <w:szCs w:val="32"/>
          <w:lang w:val="en-US" w:eastAsia="zh-CN" w:bidi="ar-SA"/>
        </w:rPr>
      </w:pPr>
      <w:r>
        <w:rPr>
          <w:rFonts w:hint="eastAsia" w:ascii="仿宋_GB2312" w:hAnsi="黑体" w:eastAsia="仿宋_GB2312" w:cstheme="minorBidi"/>
          <w:kern w:val="2"/>
          <w:sz w:val="32"/>
          <w:szCs w:val="32"/>
          <w:lang w:val="en-US" w:eastAsia="zh-CN" w:bidi="ar-SA"/>
        </w:rPr>
        <w:t>3、</w:t>
      </w:r>
      <w:r>
        <w:rPr>
          <w:rFonts w:hint="default" w:ascii="仿宋_GB2312" w:hAnsi="黑体" w:eastAsia="仿宋_GB2312" w:cstheme="minorBidi"/>
          <w:kern w:val="2"/>
          <w:sz w:val="32"/>
          <w:szCs w:val="32"/>
          <w:lang w:val="en-US" w:eastAsia="zh-CN" w:bidi="ar-SA"/>
        </w:rPr>
        <w:t>在坚持全口径预算管理要求的同时，紧紧围绕县委、县政府重点工作安排，确定单位年度工作重点，合理编制部门年初预算, 尽量减少预决算差异。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21C87"/>
    <w:multiLevelType w:val="singleLevel"/>
    <w:tmpl w:val="EAC21C87"/>
    <w:lvl w:ilvl="0" w:tentative="0">
      <w:start w:val="1"/>
      <w:numFmt w:val="chineseCounting"/>
      <w:suff w:val="nothing"/>
      <w:lvlText w:val="%1、"/>
      <w:lvlJc w:val="left"/>
      <w:rPr>
        <w:rFonts w:hint="eastAsia"/>
      </w:rPr>
    </w:lvl>
  </w:abstractNum>
  <w:abstractNum w:abstractNumId="1">
    <w:nsid w:val="3B63E75D"/>
    <w:multiLevelType w:val="singleLevel"/>
    <w:tmpl w:val="3B63E75D"/>
    <w:lvl w:ilvl="0" w:tentative="0">
      <w:start w:val="2"/>
      <w:numFmt w:val="chineseCounting"/>
      <w:suff w:val="nothing"/>
      <w:lvlText w:val="（%1）"/>
      <w:lvlJc w:val="left"/>
      <w:rPr>
        <w:rFonts w:hint="eastAsia"/>
      </w:rPr>
    </w:lvl>
  </w:abstractNum>
  <w:abstractNum w:abstractNumId="2">
    <w:nsid w:val="5FF7FCD5"/>
    <w:multiLevelType w:val="singleLevel"/>
    <w:tmpl w:val="5FF7FCD5"/>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48D470C"/>
    <w:rsid w:val="06B67C87"/>
    <w:rsid w:val="130E4C92"/>
    <w:rsid w:val="15B30A00"/>
    <w:rsid w:val="285D3C96"/>
    <w:rsid w:val="29E14627"/>
    <w:rsid w:val="34213D0B"/>
    <w:rsid w:val="39580304"/>
    <w:rsid w:val="3F103901"/>
    <w:rsid w:val="419F6330"/>
    <w:rsid w:val="46247A81"/>
    <w:rsid w:val="4A782291"/>
    <w:rsid w:val="4F2970DE"/>
    <w:rsid w:val="5EB6623E"/>
    <w:rsid w:val="5EFF2101"/>
    <w:rsid w:val="61CF1433"/>
    <w:rsid w:val="65AB4BB6"/>
    <w:rsid w:val="670A2175"/>
    <w:rsid w:val="69B33EB1"/>
    <w:rsid w:val="6B2F44DB"/>
    <w:rsid w:val="7B765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Office_11.1.0.8663_F1E327BC-269C-435d-A152-05C5408002CA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cp:lastPrinted>2021-01-11T08:14:00Z</cp:lastPrinted>
  <dcterms:modified xsi:type="dcterms:W3CDTF">2022-10-21T03:30:10Z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2052-11.1.0.8663</vt:lpwstr>
  </property>
</Properties>
</file>