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textAlignment w:val="auto"/>
        <w:rPr>
          <w:rFonts w:hint="default" w:ascii="黑体" w:hAnsi="黑体" w:eastAsia="黑体" w:cs="黑体"/>
          <w:b w:val="0"/>
          <w:bCs/>
          <w:color w:val="auto"/>
          <w:sz w:val="44"/>
          <w:szCs w:val="44"/>
          <w:lang w:val="en-US" w:eastAsia="zh-CN"/>
        </w:rPr>
      </w:pPr>
      <w:r>
        <w:rPr>
          <w:rFonts w:hint="eastAsia" w:ascii="黑体" w:hAnsi="黑体" w:eastAsia="黑体" w:cs="黑体"/>
          <w:b w:val="0"/>
          <w:bCs/>
          <w:color w:val="auto"/>
          <w:sz w:val="44"/>
          <w:szCs w:val="44"/>
          <w:lang w:eastAsia="zh-CN"/>
        </w:rPr>
        <w:t>株洲市</w:t>
      </w:r>
      <w:r>
        <w:rPr>
          <w:rFonts w:hint="eastAsia" w:ascii="黑体" w:hAnsi="黑体" w:eastAsia="黑体" w:cs="黑体"/>
          <w:b w:val="0"/>
          <w:bCs/>
          <w:color w:val="auto"/>
          <w:sz w:val="44"/>
          <w:szCs w:val="44"/>
          <w:lang w:val="en-US" w:eastAsia="zh-CN"/>
        </w:rPr>
        <w:t>促进新兴产业链龙头企业</w:t>
      </w:r>
      <w:r>
        <w:rPr>
          <w:rFonts w:hint="eastAsia" w:ascii="黑体" w:hAnsi="黑体" w:eastAsia="黑体" w:cs="黑体"/>
          <w:b w:val="0"/>
          <w:bCs/>
          <w:color w:val="auto"/>
          <w:sz w:val="44"/>
          <w:szCs w:val="44"/>
          <w:lang w:eastAsia="zh-CN"/>
        </w:rPr>
        <w:t>科技成果裂变孵化创新主体</w:t>
      </w:r>
      <w:r>
        <w:rPr>
          <w:rFonts w:hint="eastAsia" w:ascii="黑体" w:hAnsi="黑体" w:eastAsia="黑体" w:cs="黑体"/>
          <w:b w:val="0"/>
          <w:bCs/>
          <w:color w:val="auto"/>
          <w:sz w:val="44"/>
          <w:szCs w:val="44"/>
          <w:lang w:val="en-US" w:eastAsia="zh-CN"/>
        </w:rPr>
        <w:t>的实施方案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（送审稿）</w:t>
      </w:r>
    </w:p>
    <w:p>
      <w:pPr>
        <w:pStyle w:val="2"/>
        <w:rPr>
          <w:rFonts w:hint="eastAsia"/>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为贯彻《中华人民共和国促进科技成果转化法》《中共中央国务院关于深化体制机制改革加快实施创新驱动发展战略的若干意见》，激发本区域新兴产业链龙头企业创新活力和创造潜能，发挥科研人员创新创业</w:t>
      </w:r>
      <w:bookmarkStart w:id="0" w:name="_GoBack"/>
      <w:bookmarkEnd w:id="0"/>
      <w:r>
        <w:rPr>
          <w:rFonts w:hint="eastAsia" w:ascii="仿宋_GB2312" w:hAnsi="仿宋_GB2312" w:eastAsia="仿宋_GB2312" w:cs="仿宋_GB2312"/>
          <w:color w:val="auto"/>
          <w:sz w:val="32"/>
          <w:szCs w:val="32"/>
          <w:lang w:val="en-US" w:eastAsia="zh-CN"/>
        </w:rPr>
        <w:t>的积极性，按照“聚焦、裂变、创新、升级、品牌”工作思路，围绕我市创新驱动发展战略和科技创新布局需求，促进新兴产业链龙头企业科技成果裂变孵化。结合我市实际，提出如下实施方案。</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明确目标</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依托轨道交通、硬质合金、航空航天等13条新兴优势产业链，通过园区优化提质、科技成果转化、央企深度对接、企业主体培育、五链融合创新等五大行动，以“促转化、强培育、创机制”为重点，积极培育</w:t>
      </w:r>
      <w:r>
        <w:rPr>
          <w:rFonts w:hint="default" w:ascii="仿宋_GB2312" w:hAnsi="仿宋_GB2312" w:eastAsia="仿宋_GB2312" w:cs="仿宋_GB2312"/>
          <w:color w:val="auto"/>
          <w:sz w:val="32"/>
          <w:szCs w:val="32"/>
          <w:lang w:val="en-US" w:eastAsia="zh-CN"/>
        </w:rPr>
        <w:t>新兴优势产业链</w:t>
      </w:r>
      <w:r>
        <w:rPr>
          <w:rFonts w:hint="eastAsia" w:ascii="仿宋_GB2312" w:hAnsi="仿宋_GB2312" w:eastAsia="仿宋_GB2312" w:cs="仿宋_GB2312"/>
          <w:color w:val="auto"/>
          <w:sz w:val="32"/>
          <w:szCs w:val="32"/>
          <w:lang w:val="en-US" w:eastAsia="zh-CN"/>
        </w:rPr>
        <w:t>龙头企业科技成果裂变孵化创新主体。力争到2025年，全市</w:t>
      </w:r>
      <w:r>
        <w:rPr>
          <w:rFonts w:hint="default" w:ascii="仿宋_GB2312" w:hAnsi="仿宋_GB2312" w:eastAsia="仿宋_GB2312" w:cs="仿宋_GB2312"/>
          <w:color w:val="auto"/>
          <w:sz w:val="32"/>
          <w:szCs w:val="32"/>
          <w:lang w:val="en-US" w:eastAsia="zh-CN"/>
        </w:rPr>
        <w:t>新兴优势产业链</w:t>
      </w:r>
      <w:r>
        <w:rPr>
          <w:rFonts w:hint="eastAsia" w:ascii="仿宋_GB2312" w:hAnsi="仿宋_GB2312" w:eastAsia="仿宋_GB2312" w:cs="仿宋_GB2312"/>
          <w:color w:val="auto"/>
          <w:sz w:val="32"/>
          <w:szCs w:val="32"/>
          <w:lang w:val="en-US" w:eastAsia="zh-CN"/>
        </w:rPr>
        <w:t>龙头企业科技成果裂变孵化创新主体新增30家。</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工作重点</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（一）园区优化提质行动。</w:t>
      </w:r>
      <w:r>
        <w:rPr>
          <w:rFonts w:hint="eastAsia" w:ascii="仿宋_GB2312" w:hAnsi="仿宋_GB2312" w:eastAsia="仿宋_GB2312" w:cs="仿宋_GB2312"/>
          <w:color w:val="auto"/>
          <w:sz w:val="32"/>
          <w:szCs w:val="32"/>
          <w:lang w:val="en-US" w:eastAsia="zh-CN"/>
        </w:rPr>
        <w:t>以国家高新区和省级高新区为依托，发挥龙头企业带动作用，打造一批低成本、便利化、全要素、开放式的创客空间、创业咖啡、创新工场、场景实验室等新型孵化载体，孵化培育上下游关联企业。支持各类园区完善服务功能和提升服务能力，围绕我市新兴产业链定位，拓展产业链，部署创新链，完善资金链和服务链，提供全周期创业服务，形成“众创空间——孵化器——加速器”孵化机制，打造科技型园区，吸引聚集新兴产业链龙头企业在园区裂变孵化创新主体。</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（二）科技成果转化行动。</w:t>
      </w:r>
      <w:r>
        <w:rPr>
          <w:rFonts w:hint="eastAsia" w:ascii="仿宋_GB2312" w:hAnsi="仿宋_GB2312" w:eastAsia="仿宋_GB2312" w:cs="仿宋_GB2312"/>
          <w:color w:val="auto"/>
          <w:sz w:val="32"/>
          <w:szCs w:val="32"/>
          <w:lang w:val="en-US" w:eastAsia="zh-CN"/>
        </w:rPr>
        <w:t>打通基础研究、应用研究、产业转化的堵点，构建顺畅高效的技术创新和转移转化体系。激发创业内生动力，发挥龙头企业的链主作用，引导鼓励具有较好资本、技术、管理、品牌条件的龙头企业释放能量，通过品牌延伸、新建分厂、兼并收购、领域拓展、强强联合等多种方式裂变科技型企业</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鼓励和支持龙头企业与高等院校、科研院所开展联合攻关，开发具有自主知识产权的新技术、新产品，通过技术成果的转移转化创办科技型企业。</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（三）央企深度对接行动。</w:t>
      </w:r>
      <w:r>
        <w:rPr>
          <w:rFonts w:hint="eastAsia" w:ascii="仿宋_GB2312" w:hAnsi="仿宋_GB2312" w:eastAsia="仿宋_GB2312" w:cs="仿宋_GB2312"/>
          <w:color w:val="auto"/>
          <w:sz w:val="32"/>
          <w:szCs w:val="32"/>
          <w:lang w:val="en-US" w:eastAsia="zh-CN"/>
        </w:rPr>
        <w:t>完善在株央企对接合作项目协调机制，健全重点项目跟踪台账。形成“高层推动、中层落实、基层服务”的市县联动的工作格局，积极与在株央企开展全方位、宽领域、深层次对接，挖掘新的科技成果裂变孵化创新主体落地，努力打造延长产业链条，形成产业积聚效应的局面。</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（四）企业主体培育行动。</w:t>
      </w:r>
      <w:r>
        <w:rPr>
          <w:rFonts w:hint="eastAsia" w:ascii="仿宋_GB2312" w:hAnsi="仿宋_GB2312" w:eastAsia="仿宋_GB2312" w:cs="仿宋_GB2312"/>
          <w:color w:val="auto"/>
          <w:sz w:val="32"/>
          <w:szCs w:val="32"/>
          <w:lang w:val="en-US" w:eastAsia="zh-CN"/>
        </w:rPr>
        <w:t>实施科技成果裂变孵化创新主体，培育高新技术企业、科技型中小企业，壮大“瞪羚企业”、“专精特新小巨人”企业，实行“一企一策”和定制化联系帮扶，建立企业动态管理机制，实现壮大一批、培育一批。大力支持龙头企业上市融资，加快推动上市进程，加快龙头企业裂变扩张，建设一批产业集中度高、关联度强、竞争优势明显、带动面广的产业集群和龙头企业集群。</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（五）五链融合创新行动。</w:t>
      </w:r>
      <w:r>
        <w:rPr>
          <w:rFonts w:hint="eastAsia" w:ascii="仿宋_GB2312" w:hAnsi="仿宋_GB2312" w:eastAsia="仿宋_GB2312" w:cs="仿宋_GB2312"/>
          <w:color w:val="auto"/>
          <w:sz w:val="32"/>
          <w:szCs w:val="32"/>
          <w:lang w:val="en-US" w:eastAsia="zh-CN"/>
        </w:rPr>
        <w:t>探索创新链、产业链、人才链、政策链和资金链的融合发展，构建龙头企业牵头、高校院所支撑、各创新主体相互协同的创新联合体，促进科技成果高质量转化。加大金融对科技成果转化的支持，构建资金链，形成金融促进科技成果转化的长效机制，推动资金链与创新链的精准对接。</w:t>
      </w:r>
    </w:p>
    <w:p>
      <w:pPr>
        <w:pStyle w:val="9"/>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实施举措</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优先项目支持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申报国家、省科技创新“揭榜挂帅”等计划项目，对承担的国家重大专项、重点研发计划和湖南省科技重大专项等重大科技攻关与科技成果转化项目，给予项目团队“后补助”奖励，补助可以奖金形式发放给项目团队成员，项目负责人不低于30%。</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优先支持裂变孵化创新主体采取自主研发、联合开发、海外并购、国际合作等方式加强关键技术研究与攻关，突破“卡脖子”技术，择优对技术攻关项目给予立项支持。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优先支持裂变孵化创新主体申报“高新技术企业”、“科技型中小企业”、“瞪羚企业”、“专精特新小巨人”企业，支持核心产品纳入国家、省、市新技术新产品名单，获得订单。</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申报国家、省科学技术奖，对以前三完成单位获得国家、省科学技术奖的，给予不超过国家、省奖励标准的50%补助；对获得国家、省科学技术杰出贡献奖的个人，分别给予100万元、50万元补助。补助可以奖金形式发放给获奖团队成员、管理团队成员或用于技术研发和成果转化相关活动，其中获奖团队成员奖金比例不低于补助的70%、获奖团队负责人资金比例不得低于补助的30%，其余补助的使用方式由裂变孵化创新主体自行确定。</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优先平台支持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独立或联合高校、科研院所在株共建国家级或省级重点实验室、技术创新中心、工程技术研究中心、工程实验室、国际科技创新合作基地和新型研发机构等各类科技创新平台，对获批的创新平台给予国家级每个最高50万元、省级每个最高30万元补助；鼓励裂变孵化创新主体建设市级科技创新平台，考核优秀的给予每个平台最高10万元补助。</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优先人才培养支持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继续深入落实“人才30条”“青年科技人才6条措施”等激励政策，优先支持新兴产业链龙头企业</w:t>
      </w:r>
      <w:r>
        <w:rPr>
          <w:rFonts w:hint="eastAsia" w:ascii="仿宋_GB2312" w:hAnsi="仿宋_GB2312" w:eastAsia="仿宋_GB2312" w:cs="仿宋_GB2312"/>
          <w:i w:val="0"/>
          <w:iCs w:val="0"/>
          <w:caps w:val="0"/>
          <w:color w:val="auto"/>
          <w:spacing w:val="0"/>
          <w:sz w:val="32"/>
          <w:szCs w:val="32"/>
          <w:shd w:val="clear" w:fill="auto"/>
          <w:lang w:eastAsia="zh-CN"/>
        </w:rPr>
        <w:t>裂变孵化创新主体</w:t>
      </w:r>
      <w:r>
        <w:rPr>
          <w:rFonts w:hint="eastAsia" w:ascii="仿宋_GB2312" w:hAnsi="仿宋_GB2312" w:eastAsia="仿宋_GB2312" w:cs="仿宋_GB2312"/>
          <w:color w:val="auto"/>
          <w:sz w:val="32"/>
          <w:szCs w:val="32"/>
          <w:lang w:val="en-US" w:eastAsia="zh-CN"/>
        </w:rPr>
        <w:t>打造青年科技人才团队，支持以团队为核心建设科技创新平台，</w:t>
      </w:r>
      <w:r>
        <w:rPr>
          <w:rFonts w:hint="eastAsia" w:ascii="仿宋_GB2312" w:hAnsi="仿宋_GB2312" w:eastAsia="仿宋_GB2312" w:cs="仿宋_GB2312"/>
          <w:bCs/>
          <w:kern w:val="0"/>
          <w:sz w:val="32"/>
          <w:szCs w:val="32"/>
        </w:rPr>
        <w:t>对入选国家、省级科技人才项目的青年科技人才或团队，分别给予20万元、10万元的市级配套支持。</w:t>
      </w:r>
      <w:r>
        <w:rPr>
          <w:rFonts w:hint="eastAsia" w:ascii="仿宋_GB2312" w:hAnsi="仿宋_GB2312" w:eastAsia="仿宋_GB2312" w:cs="仿宋_GB2312"/>
          <w:bCs/>
          <w:kern w:val="0"/>
          <w:sz w:val="32"/>
          <w:szCs w:val="32"/>
          <w:lang w:val="en-US" w:eastAsia="zh-CN"/>
        </w:rPr>
        <w:t>对创业类精英人才（团队）给予20万元至30万元的资助</w:t>
      </w:r>
      <w:r>
        <w:rPr>
          <w:rFonts w:hint="eastAsia" w:ascii="仿宋_GB2312" w:hAnsi="仿宋_GB2312" w:eastAsia="仿宋_GB2312" w:cs="仿宋_GB2312"/>
          <w:color w:val="auto"/>
          <w:sz w:val="32"/>
          <w:szCs w:val="32"/>
          <w:highlight w:val="none"/>
          <w:lang w:val="en-US" w:eastAsia="zh-CN"/>
        </w:rPr>
        <w:t>。对“双创精英人才”直接参照D类人才提供配套服务。</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优先科技成果有效转化</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优先支持裂变孵化创新主体与高校、科研院所开展交流合作，引导裂变孵化创新主体开展成果对接、创新论坛、项目路演等活动，促进与技术、专家精准对接，提高科技创新能力。</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优先支持裂变孵化创新主体承担、参与国防科技计划推动军民重大科技成果在株转化应用。</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 w:eastAsia="zh-CN" w:bidi="ar-SA"/>
        </w:rPr>
        <w:t>优先科技金融支持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先支持裂变孵化创新主体优质资产对接多层次资本市场，引导创新创业投资机构投资种子期、初创期裂变孵化创新主体成果转化。对创新创业投资机构投资裂变孵化创新主体种子期、初创期企业成果转化，按照上年度实际到位投资额2-5%给予补助，单个项目最高20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荐获得国家、省级“专精特新小巨人”的裂变孵化创新主体纳入株洲市中小微企业产融合作白名单和上市后备企业梯队，享受市中小微企业信用贷款风险补偿支持；对股改上市（挂牌）裂变孵化创新主体给予补助。</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鼓励银行业金融机构优先为裂变孵化创新主体量身定制科技金融服务产品，为知识价值、企业票据等融资提供多样化的贷款产品，满足裂变孵化创新主体初创期、成长期、成熟期等不同发展阶段融资需求。</w:t>
      </w:r>
    </w:p>
    <w:p>
      <w:pPr>
        <w:pStyle w:val="9"/>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2" w:firstLineChars="200"/>
        <w:jc w:val="both"/>
        <w:textAlignment w:val="auto"/>
        <w:rPr>
          <w:rFonts w:hint="eastAsia" w:ascii="楷体_GB2312" w:hAnsi="楷体_GB2312" w:eastAsia="楷体_GB2312" w:cs="楷体_GB2312"/>
          <w:b/>
          <w:bCs/>
          <w:color w:val="auto"/>
          <w:kern w:val="2"/>
          <w:sz w:val="32"/>
          <w:szCs w:val="32"/>
          <w:lang w:val="en" w:eastAsia="zh-CN" w:bidi="ar-SA"/>
        </w:rPr>
      </w:pPr>
      <w:r>
        <w:rPr>
          <w:rFonts w:hint="eastAsia" w:ascii="楷体_GB2312" w:hAnsi="楷体_GB2312" w:eastAsia="楷体_GB2312" w:cs="楷体_GB2312"/>
          <w:b/>
          <w:bCs/>
          <w:color w:val="auto"/>
          <w:kern w:val="2"/>
          <w:sz w:val="32"/>
          <w:szCs w:val="32"/>
          <w:lang w:val="en" w:eastAsia="zh-CN" w:bidi="ar-SA"/>
        </w:rPr>
        <w:t>优先保障服务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加强分类施策与精准服务，</w:t>
      </w:r>
      <w:r>
        <w:rPr>
          <w:rFonts w:hint="eastAsia" w:ascii="仿宋_GB2312" w:hAnsi="仿宋_GB2312" w:eastAsia="仿宋_GB2312" w:cs="仿宋_GB2312"/>
          <w:color w:val="auto"/>
          <w:sz w:val="32"/>
          <w:szCs w:val="32"/>
          <w:lang w:val="en-US" w:eastAsia="zh-CN"/>
        </w:rPr>
        <w:t>科技园区优先支持裂变孵化创新主体</w:t>
      </w:r>
      <w:r>
        <w:rPr>
          <w:rFonts w:hint="eastAsia" w:ascii="仿宋_GB2312" w:hAnsi="仿宋_GB2312" w:eastAsia="仿宋_GB2312" w:cs="仿宋_GB2312"/>
          <w:color w:val="auto"/>
          <w:sz w:val="32"/>
          <w:szCs w:val="32"/>
          <w:lang w:val="zh-CN" w:eastAsia="zh-CN"/>
        </w:rPr>
        <w:t>开展产业招商、</w:t>
      </w:r>
      <w:r>
        <w:rPr>
          <w:rFonts w:hint="eastAsia" w:ascii="仿宋_GB2312" w:hAnsi="仿宋_GB2312" w:eastAsia="仿宋_GB2312" w:cs="仿宋_GB2312"/>
          <w:color w:val="auto"/>
          <w:sz w:val="32"/>
          <w:szCs w:val="32"/>
          <w:lang w:val="en-US" w:eastAsia="zh-CN"/>
        </w:rPr>
        <w:t>项目推进、产业链对接等，助推产业集群化发展。</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支持落地企业（含本地企业）依托优势项目裂变设立新公司，以裂变前公司地方财政贡献为基数，连续五年按新公司投产后地方财政贡献市级增量部分前三年100%、后两年50%给予奖励。</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spacing w:before="94" w:line="219" w:lineRule="auto"/>
        <w:ind w:left="114"/>
        <w:rPr>
          <w:rFonts w:ascii="宋体" w:hAnsi="宋体" w:eastAsia="宋体" w:cs="宋体"/>
          <w:sz w:val="29"/>
          <w:szCs w:val="29"/>
        </w:rPr>
      </w:pPr>
      <w:r>
        <w:rPr>
          <w:rFonts w:ascii="宋体" w:hAnsi="宋体" w:eastAsia="宋体" w:cs="宋体"/>
          <w:spacing w:val="-30"/>
          <w:sz w:val="29"/>
          <w:szCs w:val="29"/>
        </w:rPr>
        <w:t>附 件 1</w:t>
      </w:r>
    </w:p>
    <w:p>
      <w:pPr>
        <w:spacing w:line="369"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z w:val="45"/>
          <w:szCs w:val="45"/>
        </w:rPr>
      </w:pPr>
      <w:r>
        <w:rPr>
          <w:rFonts w:ascii="宋体" w:hAnsi="宋体" w:eastAsia="宋体" w:cs="宋体"/>
          <w:spacing w:val="-12"/>
          <w:sz w:val="45"/>
          <w:szCs w:val="45"/>
          <w14:textOutline w14:w="8166" w14:cap="flat" w14:cmpd="sng">
            <w14:solidFill>
              <w14:srgbClr w14:val="000000"/>
            </w14:solidFill>
            <w14:prstDash w14:val="solid"/>
            <w14:miter w14:val="0"/>
          </w14:textOutline>
        </w:rPr>
        <w:t>株</w:t>
      </w:r>
      <w:r>
        <w:rPr>
          <w:rFonts w:ascii="宋体" w:hAnsi="宋体" w:eastAsia="宋体" w:cs="宋体"/>
          <w:spacing w:val="-10"/>
          <w:sz w:val="45"/>
          <w:szCs w:val="45"/>
          <w14:textOutline w14:w="8166" w14:cap="flat" w14:cmpd="sng">
            <w14:solidFill>
              <w14:srgbClr w14:val="000000"/>
            </w14:solidFill>
            <w14:prstDash w14:val="solid"/>
            <w14:miter w14:val="0"/>
          </w14:textOutline>
        </w:rPr>
        <w:t>洲市</w:t>
      </w:r>
      <w:r>
        <w:rPr>
          <w:rFonts w:hint="eastAsia" w:ascii="宋体" w:hAnsi="宋体" w:eastAsia="宋体" w:cs="宋体"/>
          <w:spacing w:val="-10"/>
          <w:sz w:val="45"/>
          <w:szCs w:val="45"/>
          <w:lang w:val="en-US" w:eastAsia="zh-CN"/>
          <w14:textOutline w14:w="8166" w14:cap="flat" w14:cmpd="sng">
            <w14:solidFill>
              <w14:srgbClr w14:val="000000"/>
            </w14:solidFill>
            <w14:prstDash w14:val="solid"/>
            <w14:miter w14:val="0"/>
          </w14:textOutline>
        </w:rPr>
        <w:t>新兴产业链龙头</w:t>
      </w:r>
      <w:r>
        <w:rPr>
          <w:rFonts w:ascii="宋体" w:hAnsi="宋体" w:eastAsia="宋体" w:cs="宋体"/>
          <w:spacing w:val="-10"/>
          <w:sz w:val="45"/>
          <w:szCs w:val="45"/>
          <w14:textOutline w14:w="8166" w14:cap="flat" w14:cmpd="sng">
            <w14:solidFill>
              <w14:srgbClr w14:val="000000"/>
            </w14:solidFill>
            <w14:prstDash w14:val="solid"/>
            <w14:miter w14:val="0"/>
          </w14:textOutline>
        </w:rPr>
        <w:t>企业裂变计划表</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sz w:val="45"/>
          <w:szCs w:val="45"/>
        </w:rPr>
      </w:pPr>
      <w:r>
        <w:rPr>
          <w:rFonts w:ascii="宋体" w:hAnsi="宋体" w:eastAsia="宋体" w:cs="宋体"/>
          <w:spacing w:val="29"/>
          <w:sz w:val="45"/>
          <w:szCs w:val="45"/>
          <w14:textOutline w14:w="8166" w14:cap="flat" w14:cmpd="sng">
            <w14:solidFill>
              <w14:srgbClr w14:val="000000"/>
            </w14:solidFill>
            <w14:prstDash w14:val="solid"/>
            <w14:miter w14:val="0"/>
          </w14:textOutline>
        </w:rPr>
        <w:t>(县市区)</w:t>
      </w:r>
    </w:p>
    <w:p/>
    <w:p>
      <w:pPr>
        <w:spacing w:line="87" w:lineRule="exact"/>
      </w:pPr>
    </w:p>
    <w:tbl>
      <w:tblPr>
        <w:tblStyle w:val="12"/>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81"/>
        <w:gridCol w:w="3314"/>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851" w:type="pct"/>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8"/>
                <w:sz w:val="28"/>
                <w:szCs w:val="28"/>
              </w:rPr>
              <w:t>县市区</w:t>
            </w:r>
          </w:p>
        </w:tc>
        <w:tc>
          <w:tcPr>
            <w:tcW w:w="1991" w:type="pct"/>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宋体" w:hAnsi="宋体" w:eastAsia="宋体" w:cs="宋体"/>
                <w:sz w:val="28"/>
                <w:szCs w:val="28"/>
                <w:lang w:val="en-US" w:eastAsia="zh-CN"/>
              </w:rPr>
            </w:pPr>
            <w:r>
              <w:rPr>
                <w:rFonts w:hint="eastAsia" w:ascii="宋体" w:hAnsi="宋体" w:eastAsia="宋体" w:cs="宋体"/>
                <w:spacing w:val="-5"/>
                <w:sz w:val="28"/>
                <w:szCs w:val="28"/>
                <w:lang w:val="en-US" w:eastAsia="zh-CN"/>
              </w:rPr>
              <w:t>2025年</w:t>
            </w:r>
          </w:p>
        </w:tc>
        <w:tc>
          <w:tcPr>
            <w:tcW w:w="1157" w:type="pct"/>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851" w:type="pct"/>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c>
          <w:tcPr>
            <w:tcW w:w="1991" w:type="pct"/>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c>
          <w:tcPr>
            <w:tcW w:w="1157" w:type="pct"/>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6"/>
                <w:sz w:val="28"/>
                <w:szCs w:val="28"/>
              </w:rPr>
              <w:t>合计</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30</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8"/>
                <w:sz w:val="28"/>
                <w:szCs w:val="28"/>
              </w:rPr>
              <w:t>天元区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8</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8"/>
                <w:sz w:val="28"/>
                <w:szCs w:val="28"/>
              </w:rPr>
              <w:t>石峰区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5</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8"/>
                <w:sz w:val="28"/>
                <w:szCs w:val="28"/>
              </w:rPr>
              <w:t>芦淞区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4</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8"/>
                <w:sz w:val="28"/>
                <w:szCs w:val="28"/>
              </w:rPr>
              <w:t>荷塘区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firstLine="139"/>
              <w:jc w:val="center"/>
              <w:textAlignment w:val="auto"/>
              <w:rPr>
                <w:rFonts w:ascii="宋体" w:hAnsi="宋体" w:eastAsia="宋体" w:cs="宋体"/>
                <w:sz w:val="28"/>
                <w:szCs w:val="28"/>
              </w:rPr>
            </w:pPr>
            <w:r>
              <w:rPr>
                <w:rFonts w:ascii="宋体" w:hAnsi="宋体" w:eastAsia="宋体" w:cs="宋体"/>
                <w:spacing w:val="11"/>
                <w:sz w:val="28"/>
                <w:szCs w:val="28"/>
              </w:rPr>
              <w:t>株</w:t>
            </w:r>
            <w:r>
              <w:rPr>
                <w:rFonts w:ascii="宋体" w:hAnsi="宋体" w:eastAsia="宋体" w:cs="宋体"/>
                <w:spacing w:val="10"/>
                <w:sz w:val="28"/>
                <w:szCs w:val="28"/>
              </w:rPr>
              <w:t>洲</w:t>
            </w:r>
            <w:r>
              <w:rPr>
                <w:rFonts w:ascii="宋体" w:hAnsi="宋体" w:eastAsia="宋体" w:cs="宋体"/>
                <w:spacing w:val="8"/>
                <w:sz w:val="28"/>
                <w:szCs w:val="28"/>
              </w:rPr>
              <w:t>经开区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6"/>
                <w:sz w:val="28"/>
                <w:szCs w:val="28"/>
              </w:rPr>
              <w:t>渌</w:t>
            </w:r>
            <w:r>
              <w:rPr>
                <w:rFonts w:ascii="宋体" w:hAnsi="宋体" w:eastAsia="宋体" w:cs="宋体"/>
                <w:spacing w:val="4"/>
                <w:sz w:val="28"/>
                <w:szCs w:val="28"/>
              </w:rPr>
              <w:t>口区</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4"/>
                <w:sz w:val="28"/>
                <w:szCs w:val="28"/>
              </w:rPr>
              <w:t>醴</w:t>
            </w:r>
            <w:r>
              <w:rPr>
                <w:rFonts w:ascii="宋体" w:hAnsi="宋体" w:eastAsia="宋体" w:cs="宋体"/>
                <w:spacing w:val="-2"/>
                <w:sz w:val="28"/>
                <w:szCs w:val="28"/>
              </w:rPr>
              <w:t>陵市</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4</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3"/>
                <w:sz w:val="28"/>
                <w:szCs w:val="28"/>
              </w:rPr>
              <w:t>攸</w:t>
            </w:r>
            <w:r>
              <w:rPr>
                <w:rFonts w:ascii="宋体" w:hAnsi="宋体" w:eastAsia="宋体" w:cs="宋体"/>
                <w:spacing w:val="-2"/>
                <w:sz w:val="28"/>
                <w:szCs w:val="28"/>
              </w:rPr>
              <w:t>县</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2</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5"/>
                <w:sz w:val="28"/>
                <w:szCs w:val="28"/>
              </w:rPr>
              <w:t>茶</w:t>
            </w:r>
            <w:r>
              <w:rPr>
                <w:rFonts w:ascii="宋体" w:hAnsi="宋体" w:eastAsia="宋体" w:cs="宋体"/>
                <w:spacing w:val="4"/>
                <w:sz w:val="28"/>
                <w:szCs w:val="28"/>
              </w:rPr>
              <w:t>陵县</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85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宋体" w:hAnsi="宋体" w:eastAsia="宋体" w:cs="宋体"/>
                <w:sz w:val="28"/>
                <w:szCs w:val="28"/>
              </w:rPr>
            </w:pPr>
            <w:r>
              <w:rPr>
                <w:rFonts w:ascii="宋体" w:hAnsi="宋体" w:eastAsia="宋体" w:cs="宋体"/>
                <w:spacing w:val="5"/>
                <w:sz w:val="28"/>
                <w:szCs w:val="28"/>
              </w:rPr>
              <w:t>炎</w:t>
            </w:r>
            <w:r>
              <w:rPr>
                <w:rFonts w:ascii="宋体" w:hAnsi="宋体" w:eastAsia="宋体" w:cs="宋体"/>
                <w:spacing w:val="4"/>
                <w:sz w:val="28"/>
                <w:szCs w:val="28"/>
              </w:rPr>
              <w:t>陵县</w:t>
            </w:r>
          </w:p>
        </w:tc>
        <w:tc>
          <w:tcPr>
            <w:tcW w:w="1991"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Arial"/>
                <w:sz w:val="21"/>
              </w:rPr>
            </w:pPr>
          </w:p>
        </w:tc>
      </w:tr>
    </w:tbl>
    <w:p>
      <w:pPr>
        <w:rPr>
          <w:rFonts w:ascii="Arial"/>
          <w:sz w:val="21"/>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8" w:lineRule="exact"/>
      <w:ind w:left="84"/>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D35CE"/>
    <w:multiLevelType w:val="singleLevel"/>
    <w:tmpl w:val="1B2D35CE"/>
    <w:lvl w:ilvl="0" w:tentative="0">
      <w:start w:val="1"/>
      <w:numFmt w:val="chineseCounting"/>
      <w:suff w:val="nothing"/>
      <w:lvlText w:val="%1、"/>
      <w:lvlJc w:val="left"/>
      <w:rPr>
        <w:rFonts w:hint="eastAsia"/>
      </w:rPr>
    </w:lvl>
  </w:abstractNum>
  <w:abstractNum w:abstractNumId="1">
    <w:nsid w:val="2968791D"/>
    <w:multiLevelType w:val="singleLevel"/>
    <w:tmpl w:val="296879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NjA2OTdjMmRlYzA1ZjFjZWM5MzU0YmQyYmFiYjMifQ=="/>
  </w:docVars>
  <w:rsids>
    <w:rsidRoot w:val="2A2779AF"/>
    <w:rsid w:val="079245C9"/>
    <w:rsid w:val="0A79472F"/>
    <w:rsid w:val="0AAB6095"/>
    <w:rsid w:val="0AD876A7"/>
    <w:rsid w:val="12DB02AB"/>
    <w:rsid w:val="17255A22"/>
    <w:rsid w:val="186F4074"/>
    <w:rsid w:val="18D77206"/>
    <w:rsid w:val="1F5D7311"/>
    <w:rsid w:val="2165317E"/>
    <w:rsid w:val="25007867"/>
    <w:rsid w:val="27180470"/>
    <w:rsid w:val="27963944"/>
    <w:rsid w:val="2A2779AF"/>
    <w:rsid w:val="2C0C76FE"/>
    <w:rsid w:val="2D4542D1"/>
    <w:rsid w:val="2DAE0693"/>
    <w:rsid w:val="327A285B"/>
    <w:rsid w:val="34FD1045"/>
    <w:rsid w:val="35AF70D3"/>
    <w:rsid w:val="377D52BB"/>
    <w:rsid w:val="3ACD3B57"/>
    <w:rsid w:val="3B9B4E79"/>
    <w:rsid w:val="3D8F1598"/>
    <w:rsid w:val="3FDDE0D3"/>
    <w:rsid w:val="42C76911"/>
    <w:rsid w:val="43344137"/>
    <w:rsid w:val="47F60B91"/>
    <w:rsid w:val="4A144EDD"/>
    <w:rsid w:val="4B1D358A"/>
    <w:rsid w:val="4C3D6D8F"/>
    <w:rsid w:val="578B1FD2"/>
    <w:rsid w:val="59D46B67"/>
    <w:rsid w:val="5AF42E28"/>
    <w:rsid w:val="5F5F367A"/>
    <w:rsid w:val="5F7069AB"/>
    <w:rsid w:val="64F6600E"/>
    <w:rsid w:val="667445FD"/>
    <w:rsid w:val="687872FC"/>
    <w:rsid w:val="6EC57260"/>
    <w:rsid w:val="73EF054F"/>
    <w:rsid w:val="73FBEC32"/>
    <w:rsid w:val="7BFFD59D"/>
    <w:rsid w:val="7C740E72"/>
    <w:rsid w:val="7DDD46C5"/>
    <w:rsid w:val="7F435763"/>
    <w:rsid w:val="FCFF2B23"/>
    <w:rsid w:val="FEC8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beforeAutospacing="0" w:after="200" w:afterLines="200" w:afterAutospacing="0" w:line="576" w:lineRule="auto"/>
      <w:ind w:firstLine="0" w:firstLineChars="0"/>
      <w:jc w:val="center"/>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cs="宋体"/>
    </w:rPr>
  </w:style>
  <w:style w:type="paragraph" w:styleId="4">
    <w:name w:val="Normal Indent"/>
    <w:basedOn w:val="1"/>
    <w:qFormat/>
    <w:uiPriority w:val="99"/>
    <w:pPr>
      <w:ind w:firstLine="1044" w:firstLineChars="200"/>
    </w:pPr>
  </w:style>
  <w:style w:type="paragraph" w:styleId="5">
    <w:name w:val="Body Text Indent"/>
    <w:basedOn w:val="1"/>
    <w:next w:val="6"/>
    <w:qFormat/>
    <w:uiPriority w:val="99"/>
    <w:pPr>
      <w:spacing w:after="120"/>
      <w:ind w:left="200" w:leftChars="200"/>
    </w:pPr>
  </w:style>
  <w:style w:type="paragraph" w:styleId="6">
    <w:name w:val="Body Text Indent 2"/>
    <w:basedOn w:val="1"/>
    <w:qFormat/>
    <w:uiPriority w:val="0"/>
    <w:pPr>
      <w:autoSpaceDE w:val="0"/>
      <w:autoSpaceDN w:val="0"/>
      <w:adjustRightInd w:val="0"/>
      <w:spacing w:line="410" w:lineRule="atLeast"/>
      <w:ind w:left="480"/>
      <w:jc w:val="left"/>
    </w:pPr>
    <w:rPr>
      <w:rFonts w:ascii="宋体" w:hAnsi="Calibri"/>
      <w:color w:val="00000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4"/>
    <w:qFormat/>
    <w:uiPriority w:val="99"/>
    <w:pPr>
      <w:ind w:firstLine="20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2849</Words>
  <Characters>2885</Characters>
  <Lines>0</Lines>
  <Paragraphs>0</Paragraphs>
  <TotalTime>39</TotalTime>
  <ScaleCrop>false</ScaleCrop>
  <LinksUpToDate>false</LinksUpToDate>
  <CharactersWithSpaces>2887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2022-10-13T03:36:00Z</dcterms:created>
  <dc:creator>言迎</dc:creator>
  <cp:lastModifiedBy>greatwall</cp:lastModifiedBy>
  <cp:lastPrinted>2022-10-26T17:00:00Z</cp:lastPrinted>
  <dcterms:modified xsi:type="dcterms:W3CDTF">2022-10-26T09:34:26Z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7185FC9531E040E391A120D954D1F9FC</vt:lpwstr>
  </property>
</Properties>
</file>