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hint="eastAsia" w:ascii="方正小标宋简体" w:hAnsi="方正小标宋简体" w:eastAsia="方正小标宋简体" w:cs="方正小标宋简体"/>
          <w:bCs/>
          <w:color w:val="000000"/>
          <w:sz w:val="44"/>
          <w:szCs w:val="44"/>
          <w:lang w:eastAsia="zh-CN"/>
        </w:rPr>
      </w:pPr>
      <w:r>
        <w:rPr>
          <w:rFonts w:hint="eastAsia" w:ascii="方正小标宋简体" w:hAnsi="方正小标宋简体" w:eastAsia="方正小标宋简体" w:cs="方正小标宋简体"/>
          <w:bCs/>
          <w:color w:val="000000"/>
          <w:sz w:val="44"/>
          <w:szCs w:val="44"/>
        </w:rPr>
        <w:t>醴陵</w:t>
      </w:r>
      <w:r>
        <w:rPr>
          <w:rFonts w:hint="eastAsia" w:ascii="方正小标宋简体" w:hAnsi="方正小标宋简体" w:eastAsia="方正小标宋简体" w:cs="方正小标宋简体"/>
          <w:bCs/>
          <w:color w:val="000000"/>
          <w:sz w:val="44"/>
          <w:szCs w:val="44"/>
          <w:lang w:eastAsia="zh-CN"/>
        </w:rPr>
        <w:t>窑管理所</w:t>
      </w:r>
    </w:p>
    <w:p>
      <w:pPr>
        <w:tabs>
          <w:tab w:val="left" w:pos="7560"/>
        </w:tabs>
        <w:adjustRightInd w:val="0"/>
        <w:snapToGrid w:val="0"/>
        <w:spacing w:line="56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一、部门职能职责</w:t>
      </w:r>
    </w:p>
    <w:p>
      <w:pPr>
        <w:tabs>
          <w:tab w:val="left" w:pos="7560"/>
        </w:tabs>
        <w:adjustRightInd w:val="0"/>
        <w:snapToGrid w:val="0"/>
        <w:spacing w:line="560" w:lineRule="exact"/>
        <w:ind w:firstLine="640" w:firstLineChars="200"/>
        <w:jc w:val="left"/>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根据醴政办发〔2014〕35号和事证第143028100391号文件规定，</w:t>
      </w:r>
      <w:r>
        <w:rPr>
          <w:rFonts w:hint="eastAsia" w:ascii="Times New Roman" w:hAnsi="Times New Roman" w:eastAsia="仿宋_GB2312" w:cs="Times New Roman"/>
          <w:color w:val="000000"/>
          <w:sz w:val="32"/>
          <w:szCs w:val="32"/>
          <w:lang w:val="en-US" w:eastAsia="zh-CN"/>
        </w:rPr>
        <w:t>醴陵窑管理所</w:t>
      </w:r>
      <w:r>
        <w:rPr>
          <w:rFonts w:hint="eastAsia" w:ascii="Times New Roman" w:hAnsi="Times New Roman" w:eastAsia="仿宋_GB2312" w:cs="Times New Roman"/>
          <w:color w:val="000000"/>
          <w:sz w:val="32"/>
          <w:szCs w:val="32"/>
        </w:rPr>
        <w:t>主要职责是：收藏保护醴陵窑文物，弘扬民族文化，醴陵窑遗址区的</w:t>
      </w:r>
      <w:r>
        <w:rPr>
          <w:rFonts w:hint="eastAsia" w:ascii="Times New Roman" w:hAnsi="Times New Roman" w:eastAsia="仿宋_GB2312" w:cs="Times New Roman"/>
          <w:color w:val="000000"/>
          <w:sz w:val="32"/>
          <w:szCs w:val="32"/>
          <w:lang w:eastAsia="zh-CN"/>
        </w:rPr>
        <w:t>文物</w:t>
      </w:r>
      <w:r>
        <w:rPr>
          <w:rFonts w:hint="eastAsia" w:ascii="Times New Roman" w:hAnsi="Times New Roman" w:eastAsia="仿宋_GB2312" w:cs="Times New Roman"/>
          <w:color w:val="000000"/>
          <w:sz w:val="32"/>
          <w:szCs w:val="32"/>
        </w:rPr>
        <w:t>保护、管理、研究、利用、游客接待等。</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 </w:t>
      </w:r>
      <w:r>
        <w:rPr>
          <w:rFonts w:hint="eastAsia" w:ascii="Times New Roman" w:hAnsi="Times New Roman" w:eastAsia="仿宋_GB2312" w:cs="Times New Roman"/>
          <w:color w:val="000000"/>
          <w:sz w:val="32"/>
          <w:szCs w:val="32"/>
        </w:rPr>
        <w:t>醴陵窑管理所是全额拨款的股级事业单位，正式事业编制8人。现有工作人员15人，其中正式编制人员6人，临聘人员9人，离休人员0人，退休人员0人。内设办公室、财务室。本部门无下属二级预算单位。</w:t>
      </w:r>
    </w:p>
    <w:p>
      <w:pPr>
        <w:numPr>
          <w:ilvl w:val="0"/>
          <w:numId w:val="0"/>
        </w:numPr>
        <w:tabs>
          <w:tab w:val="left" w:pos="7560"/>
        </w:tabs>
        <w:adjustRightInd w:val="0"/>
        <w:snapToGrid w:val="0"/>
        <w:spacing w:line="560" w:lineRule="exact"/>
        <w:ind w:leftChars="200" w:firstLine="320" w:firstLineChars="100"/>
        <w:jc w:val="left"/>
        <w:rPr>
          <w:rFonts w:hAnsi="黑体" w:eastAsia="黑体"/>
          <w:color w:val="000000"/>
          <w:sz w:val="32"/>
          <w:szCs w:val="32"/>
        </w:rPr>
      </w:pPr>
      <w:r>
        <w:rPr>
          <w:rFonts w:hint="eastAsia" w:hAnsi="黑体" w:eastAsia="黑体"/>
          <w:color w:val="000000"/>
          <w:sz w:val="32"/>
          <w:szCs w:val="32"/>
          <w:lang w:val="en-US" w:eastAsia="zh-CN"/>
        </w:rPr>
        <w:t>三、</w:t>
      </w:r>
      <w:r>
        <w:rPr>
          <w:rFonts w:hAnsi="黑体" w:eastAsia="黑体"/>
          <w:color w:val="000000"/>
          <w:sz w:val="32"/>
          <w:szCs w:val="32"/>
        </w:rPr>
        <w:t>部门收支概况</w:t>
      </w:r>
      <w:bookmarkStart w:id="0" w:name="_GoBack"/>
      <w:bookmarkEnd w:id="0"/>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eastAsia="宋体"/>
          <w:lang w:val="en-US" w:eastAsia="zh-CN"/>
        </w:rPr>
      </w:pPr>
      <w:r>
        <w:rPr>
          <w:rFonts w:hint="eastAsia"/>
          <w:lang w:val="en-US" w:eastAsia="zh-CN"/>
        </w:rPr>
        <w:t xml:space="preserve">   </w:t>
      </w:r>
      <w:r>
        <w:rPr>
          <w:rFonts w:hint="eastAsia" w:ascii="Times New Roman" w:hAnsi="Times New Roman" w:eastAsia="仿宋_GB2312" w:cs="Times New Roman"/>
          <w:color w:val="000000"/>
          <w:kern w:val="2"/>
          <w:sz w:val="32"/>
          <w:szCs w:val="32"/>
          <w:lang w:val="en-US" w:eastAsia="zh-CN" w:bidi="ar-SA"/>
        </w:rPr>
        <w:t xml:space="preserve">  </w:t>
      </w:r>
      <w:r>
        <w:rPr>
          <w:rFonts w:hint="eastAsia" w:eastAsia="仿宋_GB2312" w:cs="Times New Roman"/>
          <w:color w:val="000000"/>
          <w:kern w:val="2"/>
          <w:sz w:val="32"/>
          <w:szCs w:val="32"/>
          <w:lang w:val="en-US" w:eastAsia="zh-CN" w:bidi="ar-SA"/>
        </w:rPr>
        <w:t xml:space="preserve">    </w:t>
      </w:r>
      <w:r>
        <w:rPr>
          <w:rFonts w:hint="eastAsia" w:ascii="Times New Roman" w:hAnsi="Times New Roman" w:eastAsia="仿宋_GB2312" w:cs="Times New Roman"/>
          <w:color w:val="000000"/>
          <w:kern w:val="2"/>
          <w:sz w:val="32"/>
          <w:szCs w:val="32"/>
          <w:lang w:val="en-US" w:eastAsia="zh-CN" w:bidi="ar-SA"/>
        </w:rPr>
        <w:t>2021年部门预算编报范围仅包括醴陵窑管理所本级，收入主要为一般公共预算收入；支出既包括保障本单位基本运行经费，也包括醴陵窑专项经费。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368.14</w:t>
      </w:r>
      <w:r>
        <w:rPr>
          <w:rFonts w:eastAsia="仿宋_GB2312"/>
          <w:color w:val="000000"/>
          <w:sz w:val="32"/>
          <w:szCs w:val="32"/>
        </w:rPr>
        <w:t>万元，其中，一般公共预算拨款</w:t>
      </w:r>
      <w:r>
        <w:rPr>
          <w:rFonts w:hint="eastAsia" w:eastAsia="仿宋_GB2312"/>
          <w:color w:val="000000"/>
          <w:sz w:val="32"/>
          <w:szCs w:val="32"/>
          <w:lang w:val="en-US" w:eastAsia="zh-CN"/>
        </w:rPr>
        <w:t>368.14</w:t>
      </w:r>
      <w:r>
        <w:rPr>
          <w:rFonts w:eastAsia="仿宋_GB2312"/>
          <w:color w:val="000000"/>
          <w:sz w:val="32"/>
          <w:szCs w:val="32"/>
        </w:rPr>
        <w:t>万元</w:t>
      </w:r>
      <w:r>
        <w:rPr>
          <w:rFonts w:hint="eastAsia" w:eastAsia="仿宋_GB2312"/>
          <w:color w:val="000000"/>
          <w:sz w:val="32"/>
          <w:szCs w:val="32"/>
          <w:lang w:eastAsia="zh-CN"/>
        </w:rPr>
        <w:t>，其中：经费拨款</w:t>
      </w:r>
      <w:r>
        <w:rPr>
          <w:rFonts w:hint="eastAsia" w:eastAsia="仿宋_GB2312"/>
          <w:color w:val="000000"/>
          <w:sz w:val="32"/>
          <w:szCs w:val="32"/>
          <w:lang w:val="en-US" w:eastAsia="zh-CN"/>
        </w:rPr>
        <w:t>90.6万元，上级补助收入277.54万元</w:t>
      </w:r>
      <w:r>
        <w:rPr>
          <w:rFonts w:eastAsia="仿宋_GB2312"/>
          <w:color w:val="000000"/>
          <w:sz w:val="32"/>
          <w:szCs w:val="32"/>
        </w:rPr>
        <w:t>；政府性基金拨款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lang w:val="en-US" w:eastAsia="zh-CN"/>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368.14</w:t>
      </w:r>
      <w:r>
        <w:rPr>
          <w:rFonts w:eastAsia="仿宋_GB2312"/>
          <w:color w:val="000000"/>
          <w:sz w:val="32"/>
          <w:szCs w:val="32"/>
        </w:rPr>
        <w:t>万元，其中，</w:t>
      </w:r>
      <w:r>
        <w:rPr>
          <w:rFonts w:hint="eastAsia" w:eastAsia="仿宋_GB2312"/>
          <w:color w:val="000000"/>
          <w:sz w:val="32"/>
          <w:szCs w:val="32"/>
        </w:rPr>
        <w:t>文化旅游体育与传媒支出</w:t>
      </w:r>
      <w:r>
        <w:rPr>
          <w:rFonts w:hint="eastAsia" w:eastAsia="仿宋_GB2312"/>
          <w:color w:val="000000"/>
          <w:sz w:val="32"/>
          <w:szCs w:val="32"/>
          <w:lang w:val="en-US" w:eastAsia="zh-CN"/>
        </w:rPr>
        <w:t>366.36</w:t>
      </w:r>
      <w:r>
        <w:rPr>
          <w:rFonts w:hint="eastAsia" w:eastAsia="仿宋_GB2312"/>
          <w:color w:val="000000"/>
          <w:sz w:val="32"/>
          <w:szCs w:val="32"/>
        </w:rPr>
        <w:t>万元，卫生健康支出</w:t>
      </w:r>
      <w:r>
        <w:rPr>
          <w:rFonts w:hint="eastAsia" w:eastAsia="仿宋_GB2312"/>
          <w:color w:val="000000"/>
          <w:sz w:val="32"/>
          <w:szCs w:val="32"/>
          <w:lang w:val="en-US" w:eastAsia="zh-CN"/>
        </w:rPr>
        <w:t>1.78</w:t>
      </w:r>
      <w:r>
        <w:rPr>
          <w:rFonts w:hint="eastAsia" w:eastAsia="仿宋_GB2312"/>
          <w:color w:val="000000"/>
          <w:sz w:val="32"/>
          <w:szCs w:val="32"/>
        </w:rPr>
        <w:t>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90.6</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。其中包括基本工资</w:t>
      </w:r>
      <w:r>
        <w:rPr>
          <w:rFonts w:hint="eastAsia" w:eastAsia="仿宋_GB2312"/>
          <w:color w:val="000000"/>
          <w:sz w:val="32"/>
          <w:szCs w:val="32"/>
          <w:lang w:val="en-US" w:eastAsia="zh-CN"/>
        </w:rPr>
        <w:t>37.12</w:t>
      </w:r>
      <w:r>
        <w:rPr>
          <w:rFonts w:eastAsia="仿宋_GB2312"/>
          <w:color w:val="000000"/>
          <w:sz w:val="32"/>
          <w:szCs w:val="32"/>
        </w:rPr>
        <w:t>万元、</w:t>
      </w:r>
      <w:r>
        <w:rPr>
          <w:rFonts w:hint="eastAsia" w:eastAsia="仿宋_GB2312"/>
          <w:color w:val="000000"/>
          <w:sz w:val="32"/>
          <w:szCs w:val="32"/>
          <w:lang w:eastAsia="zh-CN"/>
        </w:rPr>
        <w:t>一般商品和服务支出</w:t>
      </w:r>
      <w:r>
        <w:rPr>
          <w:rFonts w:hint="eastAsia" w:eastAsia="仿宋_GB2312"/>
          <w:color w:val="000000"/>
          <w:sz w:val="32"/>
          <w:szCs w:val="32"/>
          <w:lang w:val="en-US" w:eastAsia="zh-CN"/>
        </w:rPr>
        <w:t>3.48</w:t>
      </w:r>
      <w:r>
        <w:rPr>
          <w:rFonts w:eastAsia="仿宋_GB2312"/>
          <w:color w:val="000000"/>
          <w:sz w:val="32"/>
          <w:szCs w:val="32"/>
        </w:rPr>
        <w:t>万元、</w:t>
      </w:r>
      <w:r>
        <w:rPr>
          <w:rFonts w:hint="eastAsia" w:eastAsia="仿宋_GB2312"/>
          <w:color w:val="000000"/>
          <w:sz w:val="32"/>
          <w:szCs w:val="32"/>
          <w:lang w:eastAsia="zh-CN"/>
        </w:rPr>
        <w:t>工作性专项支出</w:t>
      </w:r>
      <w:r>
        <w:rPr>
          <w:rFonts w:hint="eastAsia" w:eastAsia="仿宋_GB2312"/>
          <w:color w:val="000000"/>
          <w:sz w:val="32"/>
          <w:szCs w:val="32"/>
        </w:rPr>
        <w:t>5</w:t>
      </w:r>
      <w:r>
        <w:rPr>
          <w:rFonts w:hint="eastAsia" w:eastAsia="仿宋_GB2312"/>
          <w:color w:val="000000"/>
          <w:sz w:val="32"/>
          <w:szCs w:val="32"/>
          <w:lang w:val="en-US" w:eastAsia="zh-CN"/>
        </w:rPr>
        <w:t>0</w:t>
      </w:r>
      <w:r>
        <w:rPr>
          <w:rFonts w:eastAsia="仿宋_GB2312"/>
          <w:color w:val="000000"/>
          <w:sz w:val="32"/>
          <w:szCs w:val="32"/>
        </w:rPr>
        <w:t>万元。</w:t>
      </w:r>
    </w:p>
    <w:p>
      <w:pPr>
        <w:numPr>
          <w:ilvl w:val="0"/>
          <w:numId w:val="0"/>
        </w:num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277.54</w:t>
      </w:r>
      <w:r>
        <w:rPr>
          <w:rFonts w:eastAsia="仿宋_GB2312"/>
          <w:color w:val="000000"/>
          <w:sz w:val="32"/>
          <w:szCs w:val="32"/>
        </w:rPr>
        <w:t>万元，是指单位为完成特定行政工作任务或事业发展目标而发生的支出，包括有关事业发展专项、基本建设支出、资本性支出等。</w:t>
      </w:r>
    </w:p>
    <w:p>
      <w:pPr>
        <w:numPr>
          <w:ilvl w:val="0"/>
          <w:numId w:val="0"/>
        </w:numPr>
        <w:tabs>
          <w:tab w:val="left" w:pos="7560"/>
        </w:tabs>
        <w:adjustRightInd w:val="0"/>
        <w:snapToGrid w:val="0"/>
        <w:spacing w:line="560" w:lineRule="exact"/>
        <w:ind w:firstLine="640" w:firstLineChars="200"/>
        <w:jc w:val="left"/>
      </w:pPr>
      <w:r>
        <w:rPr>
          <w:rFonts w:hint="eastAsia" w:eastAsia="楷体_GB2312"/>
          <w:bCs/>
          <w:color w:val="000000"/>
          <w:sz w:val="32"/>
          <w:szCs w:val="32"/>
          <w:lang w:eastAsia="zh-CN"/>
        </w:rPr>
        <w:t>（三）</w:t>
      </w:r>
      <w:r>
        <w:rPr>
          <w:rFonts w:eastAsia="楷体_GB2312"/>
          <w:bCs/>
          <w:color w:val="000000"/>
          <w:sz w:val="32"/>
          <w:szCs w:val="32"/>
        </w:rPr>
        <w:t>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368.14</w:t>
      </w:r>
      <w:r>
        <w:rPr>
          <w:rFonts w:eastAsia="仿宋_GB2312"/>
          <w:color w:val="000000"/>
          <w:sz w:val="32"/>
          <w:szCs w:val="32"/>
        </w:rPr>
        <w:t>万元，比上年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 xml:space="preserve">  2.68</w:t>
      </w:r>
      <w:r>
        <w:rPr>
          <w:rFonts w:eastAsia="仿宋_GB2312"/>
          <w:color w:val="000000"/>
          <w:sz w:val="32"/>
          <w:szCs w:val="32"/>
        </w:rPr>
        <w:t>万元，主要原因是</w:t>
      </w:r>
      <w:r>
        <w:rPr>
          <w:rFonts w:hint="eastAsia" w:eastAsia="仿宋_GB2312"/>
          <w:color w:val="000000"/>
          <w:sz w:val="32"/>
          <w:szCs w:val="32"/>
        </w:rPr>
        <w:t>上级</w:t>
      </w:r>
      <w:r>
        <w:rPr>
          <w:rFonts w:hint="eastAsia" w:eastAsia="仿宋_GB2312"/>
          <w:color w:val="000000"/>
          <w:sz w:val="32"/>
          <w:szCs w:val="32"/>
          <w:lang w:eastAsia="zh-CN"/>
        </w:rPr>
        <w:t>补助收入</w:t>
      </w:r>
      <w:r>
        <w:rPr>
          <w:rFonts w:eastAsia="仿宋_GB2312"/>
          <w:color w:val="000000"/>
          <w:sz w:val="32"/>
          <w:szCs w:val="32"/>
        </w:rPr>
        <w:t>经费</w:t>
      </w:r>
      <w:r>
        <w:rPr>
          <w:rFonts w:hint="eastAsia" w:eastAsia="仿宋_GB2312"/>
          <w:color w:val="000000"/>
          <w:sz w:val="32"/>
          <w:szCs w:val="32"/>
        </w:rPr>
        <w:t>较去年</w:t>
      </w:r>
      <w:r>
        <w:rPr>
          <w:rFonts w:hint="eastAsia" w:eastAsia="仿宋_GB2312"/>
          <w:color w:val="000000"/>
          <w:sz w:val="32"/>
          <w:szCs w:val="32"/>
          <w:lang w:eastAsia="zh-CN"/>
        </w:rPr>
        <w:t>减少</w:t>
      </w:r>
      <w:r>
        <w:rPr>
          <w:rFonts w:hint="eastAsia" w:eastAsia="仿宋_GB2312"/>
          <w:color w:val="000000"/>
          <w:sz w:val="32"/>
          <w:szCs w:val="32"/>
        </w:rPr>
        <w:t>。</w:t>
      </w:r>
    </w:p>
    <w:p>
      <w:pPr>
        <w:numPr>
          <w:ilvl w:val="0"/>
          <w:numId w:val="2"/>
        </w:numPr>
        <w:tabs>
          <w:tab w:val="left" w:pos="7560"/>
        </w:tabs>
        <w:adjustRightInd w:val="0"/>
        <w:snapToGrid w:val="0"/>
        <w:spacing w:line="560" w:lineRule="exact"/>
        <w:ind w:firstLine="640" w:firstLineChars="200"/>
        <w:jc w:val="left"/>
        <w:rPr>
          <w:rFonts w:hAnsi="黑体" w:eastAsia="黑体"/>
          <w:color w:val="000000"/>
          <w:sz w:val="32"/>
          <w:szCs w:val="32"/>
        </w:rPr>
      </w:pPr>
      <w:r>
        <w:rPr>
          <w:rFonts w:hAnsi="黑体" w:eastAsia="黑体"/>
          <w:color w:val="000000"/>
          <w:sz w:val="32"/>
          <w:szCs w:val="32"/>
        </w:rPr>
        <w:t>其他重要事项情况说明</w:t>
      </w:r>
    </w:p>
    <w:p>
      <w:pPr>
        <w:tabs>
          <w:tab w:val="left" w:pos="7560"/>
        </w:tabs>
        <w:adjustRightInd w:val="0"/>
        <w:snapToGrid w:val="0"/>
        <w:spacing w:line="560" w:lineRule="exact"/>
        <w:ind w:firstLine="640" w:firstLineChars="200"/>
        <w:jc w:val="left"/>
        <w:rPr>
          <w:rFonts w:eastAsia="仿宋_GB2312"/>
          <w:color w:val="0000FF"/>
          <w:sz w:val="32"/>
          <w:szCs w:val="32"/>
        </w:rPr>
      </w:pPr>
      <w:r>
        <w:rPr>
          <w:rFonts w:eastAsia="楷体_GB2312"/>
          <w:bCs/>
          <w:color w:val="auto"/>
          <w:sz w:val="32"/>
          <w:szCs w:val="32"/>
        </w:rPr>
        <w:t>（一）机关运行经费：</w:t>
      </w:r>
      <w:r>
        <w:rPr>
          <w:rFonts w:eastAsia="仿宋_GB2312"/>
          <w:color w:val="auto"/>
          <w:sz w:val="32"/>
          <w:szCs w:val="32"/>
        </w:rPr>
        <w:t>本部门</w:t>
      </w:r>
      <w:r>
        <w:rPr>
          <w:rFonts w:hint="eastAsia" w:eastAsia="仿宋_GB2312"/>
          <w:color w:val="auto"/>
          <w:sz w:val="32"/>
          <w:szCs w:val="32"/>
        </w:rPr>
        <w:t>2021</w:t>
      </w:r>
      <w:r>
        <w:rPr>
          <w:rFonts w:eastAsia="仿宋_GB2312"/>
          <w:color w:val="auto"/>
          <w:sz w:val="32"/>
          <w:szCs w:val="32"/>
        </w:rPr>
        <w:t>年年初预算机关运行经费(商品和服务支出+</w:t>
      </w:r>
      <w:r>
        <w:rPr>
          <w:rFonts w:hint="eastAsia" w:eastAsia="仿宋_GB2312"/>
          <w:color w:val="auto"/>
          <w:sz w:val="32"/>
          <w:szCs w:val="32"/>
        </w:rPr>
        <w:t>工作性</w:t>
      </w:r>
      <w:r>
        <w:rPr>
          <w:rFonts w:eastAsia="仿宋_GB2312"/>
          <w:color w:val="auto"/>
          <w:sz w:val="32"/>
          <w:szCs w:val="32"/>
        </w:rPr>
        <w:t>专项)共安排</w:t>
      </w:r>
      <w:r>
        <w:rPr>
          <w:rFonts w:hint="eastAsia" w:eastAsia="仿宋_GB2312"/>
          <w:color w:val="auto"/>
          <w:sz w:val="32"/>
          <w:szCs w:val="32"/>
          <w:lang w:val="en-US" w:eastAsia="zh-CN"/>
        </w:rPr>
        <w:t>53.48</w:t>
      </w:r>
      <w:r>
        <w:rPr>
          <w:rFonts w:eastAsia="仿宋_GB2312"/>
          <w:color w:val="auto"/>
          <w:sz w:val="32"/>
          <w:szCs w:val="32"/>
        </w:rPr>
        <w:t>万元，比上年度预算增加</w:t>
      </w:r>
      <w:r>
        <w:rPr>
          <w:rFonts w:hint="eastAsia" w:eastAsia="仿宋_GB2312"/>
          <w:color w:val="auto"/>
          <w:sz w:val="32"/>
          <w:szCs w:val="32"/>
          <w:lang w:val="en-US" w:eastAsia="zh-CN"/>
        </w:rPr>
        <w:t>21.98</w:t>
      </w:r>
      <w:r>
        <w:rPr>
          <w:rFonts w:eastAsia="仿宋_GB2312"/>
          <w:color w:val="auto"/>
          <w:sz w:val="32"/>
          <w:szCs w:val="32"/>
        </w:rPr>
        <w:t>万元，</w:t>
      </w:r>
      <w:r>
        <w:rPr>
          <w:rFonts w:eastAsia="仿宋_GB2312"/>
          <w:bCs/>
          <w:color w:val="auto"/>
          <w:sz w:val="32"/>
          <w:szCs w:val="32"/>
        </w:rPr>
        <w:t>增加的主要原因是：</w:t>
      </w:r>
      <w:r>
        <w:rPr>
          <w:rFonts w:hint="eastAsia" w:eastAsia="仿宋_GB2312"/>
          <w:bCs/>
          <w:color w:val="auto"/>
          <w:sz w:val="32"/>
          <w:szCs w:val="32"/>
        </w:rPr>
        <w:t>为保障单位日常运转经费充足增加了工作性经费。</w:t>
      </w:r>
    </w:p>
    <w:p>
      <w:pPr>
        <w:tabs>
          <w:tab w:val="left" w:pos="7560"/>
        </w:tabs>
        <w:adjustRightInd w:val="0"/>
        <w:snapToGrid w:val="0"/>
        <w:spacing w:line="560" w:lineRule="exact"/>
        <w:ind w:firstLine="640" w:firstLineChars="200"/>
        <w:jc w:val="left"/>
        <w:rPr>
          <w:color w:val="0000FF"/>
        </w:rPr>
      </w:pPr>
      <w:r>
        <w:rPr>
          <w:rFonts w:eastAsia="楷体_GB2312"/>
          <w:bCs/>
          <w:color w:val="auto"/>
          <w:sz w:val="32"/>
          <w:szCs w:val="32"/>
        </w:rPr>
        <w:t>（二)政府采购预算：</w:t>
      </w:r>
      <w:r>
        <w:rPr>
          <w:rFonts w:hint="eastAsia" w:eastAsia="仿宋_GB2312"/>
          <w:color w:val="auto"/>
          <w:sz w:val="32"/>
          <w:szCs w:val="32"/>
        </w:rPr>
        <w:t>2021</w:t>
      </w:r>
      <w:r>
        <w:rPr>
          <w:rFonts w:eastAsia="仿宋_GB2312"/>
          <w:color w:val="auto"/>
          <w:sz w:val="32"/>
          <w:szCs w:val="32"/>
        </w:rPr>
        <w:t>年年初预算数为</w:t>
      </w:r>
      <w:r>
        <w:rPr>
          <w:rFonts w:hint="eastAsia" w:eastAsia="仿宋_GB2312"/>
          <w:color w:val="auto"/>
          <w:sz w:val="32"/>
          <w:szCs w:val="32"/>
          <w:lang w:val="en-US" w:eastAsia="zh-CN"/>
        </w:rPr>
        <w:t>10.52</w:t>
      </w:r>
      <w:r>
        <w:rPr>
          <w:rFonts w:eastAsia="仿宋_GB2312"/>
          <w:color w:val="auto"/>
          <w:sz w:val="32"/>
          <w:szCs w:val="32"/>
        </w:rPr>
        <w:t>万元。包含：</w:t>
      </w:r>
      <w:r>
        <w:rPr>
          <w:rFonts w:hint="eastAsia" w:eastAsia="仿宋_GB2312"/>
          <w:color w:val="auto"/>
          <w:sz w:val="32"/>
          <w:szCs w:val="32"/>
        </w:rPr>
        <w:t>货物类</w:t>
      </w:r>
      <w:r>
        <w:rPr>
          <w:rFonts w:hint="eastAsia" w:eastAsia="仿宋_GB2312"/>
          <w:color w:val="auto"/>
          <w:sz w:val="32"/>
          <w:szCs w:val="32"/>
          <w:lang w:val="en-US" w:eastAsia="zh-CN"/>
        </w:rPr>
        <w:t>7.52</w:t>
      </w:r>
      <w:r>
        <w:rPr>
          <w:rFonts w:eastAsia="仿宋_GB2312"/>
          <w:color w:val="auto"/>
          <w:sz w:val="32"/>
          <w:szCs w:val="32"/>
        </w:rPr>
        <w:t>万元、</w:t>
      </w:r>
      <w:r>
        <w:rPr>
          <w:rFonts w:hint="eastAsia" w:eastAsia="仿宋_GB2312"/>
          <w:color w:val="auto"/>
          <w:sz w:val="32"/>
          <w:szCs w:val="32"/>
        </w:rPr>
        <w:t>服务类</w:t>
      </w:r>
      <w:r>
        <w:rPr>
          <w:rFonts w:hint="eastAsia" w:eastAsia="仿宋_GB2312"/>
          <w:color w:val="auto"/>
          <w:sz w:val="32"/>
          <w:szCs w:val="32"/>
          <w:lang w:val="en-US" w:eastAsia="zh-CN"/>
        </w:rPr>
        <w:t>3</w:t>
      </w:r>
      <w:r>
        <w:rPr>
          <w:rFonts w:eastAsia="仿宋_GB2312"/>
          <w:color w:val="auto"/>
          <w:sz w:val="32"/>
          <w:szCs w:val="32"/>
        </w:rPr>
        <w:t>万元</w:t>
      </w:r>
      <w:r>
        <w:rPr>
          <w:rFonts w:hint="eastAsia" w:eastAsia="仿宋_GB2312"/>
          <w:color w:val="auto"/>
          <w:sz w:val="32"/>
          <w:szCs w:val="32"/>
          <w:lang w:eastAsia="zh-CN"/>
        </w:rPr>
        <w:t>、工程类</w:t>
      </w:r>
      <w:r>
        <w:rPr>
          <w:rFonts w:hint="eastAsia" w:eastAsia="仿宋_GB2312"/>
          <w:color w:val="auto"/>
          <w:sz w:val="32"/>
          <w:szCs w:val="32"/>
          <w:lang w:val="en-US" w:eastAsia="zh-CN"/>
        </w:rPr>
        <w:t>0万元。</w:t>
      </w:r>
    </w:p>
    <w:p>
      <w:pPr>
        <w:numPr>
          <w:ilvl w:val="0"/>
          <w:numId w:val="0"/>
        </w:numPr>
        <w:tabs>
          <w:tab w:val="left" w:pos="7560"/>
        </w:tabs>
        <w:adjustRightInd w:val="0"/>
        <w:snapToGrid w:val="0"/>
        <w:spacing w:line="560" w:lineRule="exact"/>
        <w:ind w:firstLine="640" w:firstLineChars="200"/>
        <w:jc w:val="left"/>
        <w:rPr>
          <w:rFonts w:eastAsia="仿宋_GB2312"/>
          <w:color w:val="auto"/>
          <w:sz w:val="32"/>
          <w:szCs w:val="32"/>
        </w:rPr>
      </w:pPr>
      <w:r>
        <w:rPr>
          <w:rFonts w:hint="eastAsia" w:eastAsia="楷体_GB2312"/>
          <w:bCs/>
          <w:color w:val="auto"/>
          <w:sz w:val="32"/>
          <w:szCs w:val="32"/>
          <w:lang w:eastAsia="zh-CN"/>
        </w:rPr>
        <w:t>（</w:t>
      </w:r>
      <w:r>
        <w:rPr>
          <w:rFonts w:hint="eastAsia" w:eastAsia="楷体_GB2312"/>
          <w:bCs/>
          <w:color w:val="auto"/>
          <w:sz w:val="32"/>
          <w:szCs w:val="32"/>
          <w:lang w:val="en-US" w:eastAsia="zh-CN"/>
        </w:rPr>
        <w:t>三）</w:t>
      </w:r>
      <w:r>
        <w:rPr>
          <w:rFonts w:eastAsia="楷体_GB2312"/>
          <w:bCs/>
          <w:color w:val="auto"/>
          <w:sz w:val="32"/>
          <w:szCs w:val="32"/>
        </w:rPr>
        <w:t>国有资产占有情况：</w:t>
      </w:r>
      <w:r>
        <w:rPr>
          <w:rFonts w:eastAsia="仿宋_GB2312"/>
          <w:color w:val="auto"/>
          <w:sz w:val="32"/>
          <w:szCs w:val="32"/>
        </w:rPr>
        <w:t>截止20</w:t>
      </w:r>
      <w:r>
        <w:rPr>
          <w:rFonts w:hint="eastAsia" w:eastAsia="仿宋_GB2312"/>
          <w:color w:val="auto"/>
          <w:sz w:val="32"/>
          <w:szCs w:val="32"/>
        </w:rPr>
        <w:t>20</w:t>
      </w:r>
      <w:r>
        <w:rPr>
          <w:rFonts w:eastAsia="仿宋_GB2312"/>
          <w:color w:val="auto"/>
          <w:sz w:val="32"/>
          <w:szCs w:val="32"/>
        </w:rPr>
        <w:t>年12月31日，本部门共有车辆</w:t>
      </w:r>
      <w:r>
        <w:rPr>
          <w:rFonts w:hint="eastAsia" w:eastAsia="仿宋_GB2312"/>
          <w:color w:val="auto"/>
          <w:sz w:val="32"/>
          <w:szCs w:val="32"/>
        </w:rPr>
        <w:t>0</w:t>
      </w:r>
      <w:r>
        <w:rPr>
          <w:rFonts w:eastAsia="仿宋_GB2312"/>
          <w:color w:val="auto"/>
          <w:sz w:val="32"/>
          <w:szCs w:val="32"/>
        </w:rPr>
        <w:t xml:space="preserve"> 辆，其中一般公务用车</w:t>
      </w:r>
      <w:r>
        <w:rPr>
          <w:rFonts w:hint="eastAsia" w:eastAsia="仿宋_GB2312"/>
          <w:color w:val="auto"/>
          <w:sz w:val="32"/>
          <w:szCs w:val="32"/>
        </w:rPr>
        <w:t>0</w:t>
      </w:r>
      <w:r>
        <w:rPr>
          <w:rFonts w:eastAsia="仿宋_GB2312"/>
          <w:color w:val="auto"/>
          <w:sz w:val="32"/>
          <w:szCs w:val="32"/>
        </w:rPr>
        <w:t>辆、一般执法执勤用车</w:t>
      </w:r>
      <w:r>
        <w:rPr>
          <w:rFonts w:hint="eastAsia" w:eastAsia="仿宋_GB2312"/>
          <w:color w:val="auto"/>
          <w:sz w:val="32"/>
          <w:szCs w:val="32"/>
        </w:rPr>
        <w:t>0</w:t>
      </w:r>
      <w:r>
        <w:rPr>
          <w:rFonts w:eastAsia="仿宋_GB2312"/>
          <w:color w:val="auto"/>
          <w:sz w:val="32"/>
          <w:szCs w:val="32"/>
        </w:rPr>
        <w:t>辆、货币化用车</w:t>
      </w:r>
      <w:r>
        <w:rPr>
          <w:rFonts w:hint="eastAsia" w:eastAsia="仿宋_GB2312"/>
          <w:color w:val="auto"/>
          <w:sz w:val="32"/>
          <w:szCs w:val="32"/>
        </w:rPr>
        <w:t>0</w:t>
      </w:r>
      <w:r>
        <w:rPr>
          <w:rFonts w:eastAsia="仿宋_GB2312"/>
          <w:color w:val="auto"/>
          <w:sz w:val="32"/>
          <w:szCs w:val="32"/>
        </w:rPr>
        <w:t>辆；单位价值200万以上大型设备</w:t>
      </w:r>
      <w:r>
        <w:rPr>
          <w:rFonts w:hint="eastAsia" w:eastAsia="仿宋_GB2312"/>
          <w:color w:val="auto"/>
          <w:sz w:val="32"/>
          <w:szCs w:val="32"/>
        </w:rPr>
        <w:t>0</w:t>
      </w:r>
      <w:r>
        <w:rPr>
          <w:rFonts w:eastAsia="仿宋_GB2312"/>
          <w:color w:val="auto"/>
          <w:sz w:val="32"/>
          <w:szCs w:val="32"/>
        </w:rPr>
        <w:t>套。202</w:t>
      </w:r>
      <w:r>
        <w:rPr>
          <w:rFonts w:hint="eastAsia" w:eastAsia="仿宋_GB2312"/>
          <w:color w:val="auto"/>
          <w:sz w:val="32"/>
          <w:szCs w:val="32"/>
        </w:rPr>
        <w:t>1</w:t>
      </w:r>
      <w:r>
        <w:rPr>
          <w:rFonts w:eastAsia="仿宋_GB2312"/>
          <w:color w:val="auto"/>
          <w:sz w:val="32"/>
          <w:szCs w:val="32"/>
        </w:rPr>
        <w:t>年部门预算安排购置车辆</w:t>
      </w:r>
      <w:r>
        <w:rPr>
          <w:rFonts w:hint="eastAsia" w:eastAsia="仿宋_GB2312"/>
          <w:color w:val="auto"/>
          <w:sz w:val="32"/>
          <w:szCs w:val="32"/>
        </w:rPr>
        <w:t>0</w:t>
      </w:r>
      <w:r>
        <w:rPr>
          <w:rFonts w:eastAsia="仿宋_GB2312"/>
          <w:color w:val="auto"/>
          <w:sz w:val="32"/>
          <w:szCs w:val="32"/>
        </w:rPr>
        <w:t>辆，预算安排购置价值200万以上大型设备</w:t>
      </w:r>
      <w:r>
        <w:rPr>
          <w:rFonts w:hint="eastAsia" w:eastAsia="仿宋_GB2312"/>
          <w:color w:val="auto"/>
          <w:sz w:val="32"/>
          <w:szCs w:val="32"/>
        </w:rPr>
        <w:t>0</w:t>
      </w:r>
      <w:r>
        <w:rPr>
          <w:rFonts w:eastAsia="仿宋_GB2312"/>
          <w:color w:val="auto"/>
          <w:sz w:val="32"/>
          <w:szCs w:val="32"/>
        </w:rPr>
        <w:t>套。</w:t>
      </w:r>
    </w:p>
    <w:p>
      <w:pPr>
        <w:tabs>
          <w:tab w:val="left" w:pos="7560"/>
        </w:tabs>
        <w:adjustRightInd w:val="0"/>
        <w:snapToGrid w:val="0"/>
        <w:spacing w:line="560" w:lineRule="exact"/>
        <w:ind w:firstLine="640" w:firstLineChars="200"/>
        <w:jc w:val="left"/>
        <w:rPr>
          <w:rFonts w:eastAsia="仿宋_GB2312"/>
          <w:b/>
          <w:bCs/>
          <w:color w:val="auto"/>
          <w:sz w:val="32"/>
          <w:szCs w:val="32"/>
        </w:rPr>
      </w:pPr>
      <w:r>
        <w:rPr>
          <w:rFonts w:eastAsia="楷体_GB2312"/>
          <w:bCs/>
          <w:color w:val="auto"/>
          <w:sz w:val="32"/>
          <w:szCs w:val="32"/>
        </w:rPr>
        <w:t>（四）预算绩效目标：</w:t>
      </w:r>
      <w:r>
        <w:rPr>
          <w:rFonts w:eastAsia="仿宋_GB2312"/>
          <w:color w:val="auto"/>
          <w:sz w:val="32"/>
          <w:szCs w:val="32"/>
        </w:rPr>
        <w:t>本部门整体支出和项目支出实行绩效目标管理，纳入20</w:t>
      </w:r>
      <w:r>
        <w:rPr>
          <w:rFonts w:hint="eastAsia" w:eastAsia="仿宋_GB2312"/>
          <w:color w:val="auto"/>
          <w:sz w:val="32"/>
          <w:szCs w:val="32"/>
        </w:rPr>
        <w:t>21</w:t>
      </w:r>
      <w:r>
        <w:rPr>
          <w:rFonts w:eastAsia="仿宋_GB2312"/>
          <w:color w:val="auto"/>
          <w:sz w:val="32"/>
          <w:szCs w:val="32"/>
        </w:rPr>
        <w:t xml:space="preserve">年部门整体支出绩效目标的金额为 </w:t>
      </w:r>
      <w:r>
        <w:rPr>
          <w:rFonts w:hint="eastAsia" w:eastAsia="仿宋_GB2312"/>
          <w:color w:val="auto"/>
          <w:sz w:val="32"/>
          <w:szCs w:val="32"/>
          <w:lang w:val="en-US" w:eastAsia="zh-CN"/>
        </w:rPr>
        <w:t>368.14</w:t>
      </w:r>
      <w:r>
        <w:rPr>
          <w:rFonts w:eastAsia="仿宋_GB2312"/>
          <w:color w:val="auto"/>
          <w:sz w:val="32"/>
          <w:szCs w:val="32"/>
        </w:rPr>
        <w:t>万元，其中，基本支出</w:t>
      </w:r>
      <w:r>
        <w:rPr>
          <w:rFonts w:hint="eastAsia" w:eastAsia="仿宋_GB2312"/>
          <w:color w:val="auto"/>
          <w:sz w:val="32"/>
          <w:szCs w:val="32"/>
          <w:lang w:val="en-US" w:eastAsia="zh-CN"/>
        </w:rPr>
        <w:t>90.6</w:t>
      </w:r>
      <w:r>
        <w:rPr>
          <w:rFonts w:eastAsia="仿宋_GB2312"/>
          <w:color w:val="auto"/>
          <w:sz w:val="32"/>
          <w:szCs w:val="32"/>
        </w:rPr>
        <w:t>万元，</w:t>
      </w:r>
      <w:r>
        <w:rPr>
          <w:rFonts w:hint="eastAsia" w:eastAsia="仿宋_GB2312"/>
          <w:color w:val="auto"/>
          <w:sz w:val="32"/>
          <w:szCs w:val="32"/>
          <w:lang w:eastAsia="zh-CN"/>
        </w:rPr>
        <w:t>上级专项</w:t>
      </w:r>
      <w:r>
        <w:rPr>
          <w:rFonts w:eastAsia="仿宋_GB2312"/>
          <w:color w:val="auto"/>
          <w:sz w:val="32"/>
          <w:szCs w:val="32"/>
        </w:rPr>
        <w:t xml:space="preserve">项目支出   </w:t>
      </w:r>
      <w:r>
        <w:rPr>
          <w:rFonts w:hint="eastAsia" w:eastAsia="仿宋_GB2312"/>
          <w:color w:val="auto"/>
          <w:sz w:val="32"/>
          <w:szCs w:val="32"/>
          <w:lang w:val="en-US" w:eastAsia="zh-CN"/>
        </w:rPr>
        <w:t>277.54</w:t>
      </w:r>
      <w:r>
        <w:rPr>
          <w:rFonts w:eastAsia="仿宋_GB2312"/>
          <w:color w:val="auto"/>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auto"/>
          <w:sz w:val="32"/>
          <w:szCs w:val="32"/>
        </w:rPr>
      </w:pPr>
      <w:r>
        <w:rPr>
          <w:rFonts w:eastAsia="楷体_GB2312"/>
          <w:bCs/>
          <w:color w:val="auto"/>
          <w:sz w:val="32"/>
          <w:szCs w:val="32"/>
        </w:rPr>
        <w:t>（</w:t>
      </w:r>
      <w:r>
        <w:rPr>
          <w:rFonts w:hint="eastAsia" w:eastAsia="楷体_GB2312"/>
          <w:bCs/>
          <w:color w:val="auto"/>
          <w:sz w:val="32"/>
          <w:szCs w:val="32"/>
          <w:lang w:val="en-US" w:eastAsia="zh-CN"/>
        </w:rPr>
        <w:t>五</w:t>
      </w:r>
      <w:r>
        <w:rPr>
          <w:rFonts w:eastAsia="楷体_GB2312"/>
          <w:bCs/>
          <w:color w:val="auto"/>
          <w:sz w:val="32"/>
          <w:szCs w:val="32"/>
        </w:rPr>
        <w:t>）“三公”经费预算：</w:t>
      </w:r>
    </w:p>
    <w:p>
      <w:pPr>
        <w:tabs>
          <w:tab w:val="left" w:pos="7560"/>
        </w:tabs>
        <w:adjustRightInd w:val="0"/>
        <w:snapToGrid w:val="0"/>
        <w:spacing w:line="560" w:lineRule="exact"/>
        <w:ind w:firstLine="640" w:firstLineChars="200"/>
        <w:jc w:val="left"/>
        <w:rPr>
          <w:rFonts w:eastAsia="仿宋_GB2312"/>
          <w:b/>
          <w:bCs/>
          <w:color w:val="auto"/>
          <w:sz w:val="32"/>
          <w:szCs w:val="32"/>
        </w:rPr>
      </w:pPr>
      <w:r>
        <w:rPr>
          <w:rFonts w:eastAsia="仿宋_GB2312"/>
          <w:color w:val="auto"/>
          <w:sz w:val="32"/>
          <w:szCs w:val="32"/>
        </w:rPr>
        <w:t>20</w:t>
      </w:r>
      <w:r>
        <w:rPr>
          <w:rFonts w:hint="eastAsia" w:eastAsia="仿宋_GB2312"/>
          <w:color w:val="auto"/>
          <w:sz w:val="32"/>
          <w:szCs w:val="32"/>
        </w:rPr>
        <w:t>21</w:t>
      </w:r>
      <w:r>
        <w:rPr>
          <w:rFonts w:eastAsia="仿宋_GB2312"/>
          <w:color w:val="auto"/>
          <w:sz w:val="32"/>
          <w:szCs w:val="32"/>
        </w:rPr>
        <w:t>年“三公”经费预算数</w:t>
      </w:r>
      <w:r>
        <w:rPr>
          <w:rFonts w:hint="eastAsia" w:eastAsia="仿宋_GB2312"/>
          <w:color w:val="auto"/>
          <w:sz w:val="32"/>
          <w:szCs w:val="32"/>
          <w:lang w:val="en-US" w:eastAsia="zh-CN"/>
        </w:rPr>
        <w:t>0</w:t>
      </w:r>
      <w:r>
        <w:rPr>
          <w:rFonts w:eastAsia="仿宋_GB2312"/>
          <w:color w:val="auto"/>
          <w:sz w:val="32"/>
          <w:szCs w:val="32"/>
        </w:rPr>
        <w:t>万元，其中：公务接待费</w:t>
      </w:r>
      <w:r>
        <w:rPr>
          <w:rFonts w:hint="eastAsia" w:eastAsia="仿宋_GB2312"/>
          <w:color w:val="auto"/>
          <w:sz w:val="32"/>
          <w:szCs w:val="32"/>
          <w:lang w:val="en-US" w:eastAsia="zh-CN"/>
        </w:rPr>
        <w:t>0</w:t>
      </w:r>
      <w:r>
        <w:rPr>
          <w:rFonts w:eastAsia="仿宋_GB2312"/>
          <w:color w:val="auto"/>
          <w:sz w:val="32"/>
          <w:szCs w:val="32"/>
        </w:rPr>
        <w:t>万元、公务用车购置费</w:t>
      </w:r>
      <w:r>
        <w:rPr>
          <w:rFonts w:hint="eastAsia" w:eastAsia="仿宋_GB2312"/>
          <w:color w:val="auto"/>
          <w:sz w:val="32"/>
          <w:szCs w:val="32"/>
        </w:rPr>
        <w:t>0</w:t>
      </w:r>
      <w:r>
        <w:rPr>
          <w:rFonts w:eastAsia="仿宋_GB2312"/>
          <w:color w:val="auto"/>
          <w:sz w:val="32"/>
          <w:szCs w:val="32"/>
        </w:rPr>
        <w:t>万元，公务用车运行费</w:t>
      </w:r>
      <w:r>
        <w:rPr>
          <w:rFonts w:hint="eastAsia" w:eastAsia="仿宋_GB2312"/>
          <w:color w:val="auto"/>
          <w:sz w:val="32"/>
          <w:szCs w:val="32"/>
        </w:rPr>
        <w:t>0</w:t>
      </w:r>
      <w:r>
        <w:rPr>
          <w:rFonts w:eastAsia="仿宋_GB2312"/>
          <w:color w:val="auto"/>
          <w:sz w:val="32"/>
          <w:szCs w:val="32"/>
        </w:rPr>
        <w:t>万元、因公出国（境）费</w:t>
      </w:r>
      <w:r>
        <w:rPr>
          <w:rFonts w:hint="eastAsia" w:eastAsia="仿宋_GB2312"/>
          <w:color w:val="auto"/>
          <w:sz w:val="32"/>
          <w:szCs w:val="32"/>
        </w:rPr>
        <w:t>0</w:t>
      </w:r>
      <w:r>
        <w:rPr>
          <w:rFonts w:eastAsia="仿宋_GB2312"/>
          <w:color w:val="auto"/>
          <w:sz w:val="32"/>
          <w:szCs w:val="32"/>
        </w:rPr>
        <w:t>万元。20</w:t>
      </w:r>
      <w:r>
        <w:rPr>
          <w:rFonts w:hint="eastAsia" w:eastAsia="仿宋_GB2312"/>
          <w:color w:val="auto"/>
          <w:sz w:val="32"/>
          <w:szCs w:val="32"/>
        </w:rPr>
        <w:t>21</w:t>
      </w:r>
      <w:r>
        <w:rPr>
          <w:rFonts w:eastAsia="仿宋_GB2312"/>
          <w:color w:val="auto"/>
          <w:sz w:val="32"/>
          <w:szCs w:val="32"/>
        </w:rPr>
        <w:t>年公务用车购置数</w:t>
      </w:r>
      <w:r>
        <w:rPr>
          <w:rFonts w:hint="eastAsia" w:eastAsia="仿宋_GB2312"/>
          <w:color w:val="auto"/>
          <w:sz w:val="32"/>
          <w:szCs w:val="32"/>
        </w:rPr>
        <w:t>0</w:t>
      </w:r>
      <w:r>
        <w:rPr>
          <w:rFonts w:eastAsia="仿宋_GB2312"/>
          <w:color w:val="auto"/>
          <w:sz w:val="32"/>
          <w:szCs w:val="32"/>
        </w:rPr>
        <w:t>台。</w:t>
      </w:r>
    </w:p>
    <w:p>
      <w:pPr>
        <w:tabs>
          <w:tab w:val="left" w:pos="7560"/>
        </w:tabs>
        <w:adjustRightInd w:val="0"/>
        <w:snapToGrid w:val="0"/>
        <w:spacing w:line="560" w:lineRule="exact"/>
        <w:ind w:firstLine="640" w:firstLineChars="200"/>
        <w:jc w:val="left"/>
        <w:rPr>
          <w:rFonts w:eastAsia="仿宋_GB2312"/>
          <w:color w:val="auto"/>
          <w:sz w:val="32"/>
          <w:szCs w:val="32"/>
        </w:rPr>
      </w:pPr>
      <w:r>
        <w:rPr>
          <w:rFonts w:eastAsia="仿宋_GB2312"/>
          <w:color w:val="auto"/>
          <w:sz w:val="32"/>
          <w:szCs w:val="32"/>
        </w:rPr>
        <w:t>20</w:t>
      </w:r>
      <w:r>
        <w:rPr>
          <w:rFonts w:hint="eastAsia" w:eastAsia="仿宋_GB2312"/>
          <w:color w:val="auto"/>
          <w:sz w:val="32"/>
          <w:szCs w:val="32"/>
        </w:rPr>
        <w:t>21</w:t>
      </w:r>
      <w:r>
        <w:rPr>
          <w:rFonts w:eastAsia="仿宋_GB2312"/>
          <w:color w:val="auto"/>
          <w:sz w:val="32"/>
          <w:szCs w:val="32"/>
        </w:rPr>
        <w:t>年“三公”经费预算数比20</w:t>
      </w:r>
      <w:r>
        <w:rPr>
          <w:rFonts w:hint="eastAsia" w:eastAsia="仿宋_GB2312"/>
          <w:color w:val="auto"/>
          <w:sz w:val="32"/>
          <w:szCs w:val="32"/>
        </w:rPr>
        <w:t>20</w:t>
      </w:r>
      <w:r>
        <w:rPr>
          <w:rFonts w:eastAsia="仿宋_GB2312"/>
          <w:color w:val="auto"/>
          <w:sz w:val="32"/>
          <w:szCs w:val="32"/>
        </w:rPr>
        <w:t>年增加</w:t>
      </w:r>
      <w:r>
        <w:rPr>
          <w:rFonts w:hint="eastAsia" w:eastAsia="仿宋_GB2312"/>
          <w:color w:val="auto"/>
          <w:sz w:val="32"/>
          <w:szCs w:val="32"/>
          <w:lang w:val="en-US" w:eastAsia="zh-CN"/>
        </w:rPr>
        <w:t>0</w:t>
      </w:r>
      <w:r>
        <w:rPr>
          <w:rFonts w:eastAsia="仿宋_GB2312"/>
          <w:color w:val="auto"/>
          <w:sz w:val="32"/>
          <w:szCs w:val="32"/>
        </w:rPr>
        <w:t>万元。</w:t>
      </w:r>
    </w:p>
    <w:p>
      <w:pPr>
        <w:tabs>
          <w:tab w:val="left" w:pos="7560"/>
        </w:tabs>
        <w:adjustRightInd w:val="0"/>
        <w:snapToGrid w:val="0"/>
        <w:spacing w:line="560" w:lineRule="exact"/>
        <w:ind w:firstLine="640" w:firstLineChars="200"/>
        <w:jc w:val="left"/>
        <w:rPr>
          <w:rFonts w:eastAsia="楷体_GB2312"/>
          <w:bCs/>
          <w:color w:val="auto"/>
          <w:sz w:val="32"/>
          <w:szCs w:val="32"/>
        </w:rPr>
      </w:pPr>
      <w:r>
        <w:rPr>
          <w:rFonts w:eastAsia="楷体_GB2312"/>
          <w:bCs/>
          <w:color w:val="auto"/>
          <w:sz w:val="32"/>
          <w:szCs w:val="32"/>
        </w:rPr>
        <w:t>（</w:t>
      </w:r>
      <w:r>
        <w:rPr>
          <w:rFonts w:hint="eastAsia" w:eastAsia="楷体_GB2312"/>
          <w:bCs/>
          <w:color w:val="auto"/>
          <w:sz w:val="32"/>
          <w:szCs w:val="32"/>
          <w:lang w:val="en-US" w:eastAsia="zh-CN"/>
        </w:rPr>
        <w:t>六</w:t>
      </w:r>
      <w:r>
        <w:rPr>
          <w:rFonts w:eastAsia="楷体_GB2312"/>
          <w:bCs/>
          <w:color w:val="auto"/>
          <w:sz w:val="32"/>
          <w:szCs w:val="32"/>
        </w:rPr>
        <w:t>）会议费、培训费预算：</w:t>
      </w:r>
    </w:p>
    <w:p>
      <w:pPr>
        <w:tabs>
          <w:tab w:val="left" w:pos="7560"/>
        </w:tabs>
        <w:adjustRightInd w:val="0"/>
        <w:snapToGrid w:val="0"/>
        <w:spacing w:line="560" w:lineRule="exact"/>
        <w:ind w:firstLine="640" w:firstLineChars="200"/>
        <w:jc w:val="left"/>
        <w:rPr>
          <w:rFonts w:eastAsia="仿宋_GB2312"/>
          <w:color w:val="auto"/>
          <w:sz w:val="32"/>
          <w:szCs w:val="32"/>
        </w:rPr>
      </w:pPr>
      <w:r>
        <w:rPr>
          <w:rFonts w:eastAsia="仿宋_GB2312"/>
          <w:color w:val="auto"/>
          <w:sz w:val="32"/>
          <w:szCs w:val="32"/>
        </w:rPr>
        <w:t>20</w:t>
      </w:r>
      <w:r>
        <w:rPr>
          <w:rFonts w:hint="eastAsia" w:eastAsia="仿宋_GB2312"/>
          <w:color w:val="auto"/>
          <w:sz w:val="32"/>
          <w:szCs w:val="32"/>
        </w:rPr>
        <w:t>21</w:t>
      </w:r>
      <w:r>
        <w:rPr>
          <w:rFonts w:eastAsia="仿宋_GB2312"/>
          <w:color w:val="auto"/>
          <w:sz w:val="32"/>
          <w:szCs w:val="32"/>
        </w:rPr>
        <w:t>年预算安排会议费</w:t>
      </w:r>
      <w:r>
        <w:rPr>
          <w:rFonts w:hint="eastAsia" w:eastAsia="仿宋_GB2312"/>
          <w:color w:val="auto"/>
          <w:sz w:val="32"/>
          <w:szCs w:val="32"/>
        </w:rPr>
        <w:t>0</w:t>
      </w:r>
      <w:r>
        <w:rPr>
          <w:rFonts w:eastAsia="仿宋_GB2312"/>
          <w:color w:val="auto"/>
          <w:sz w:val="32"/>
          <w:szCs w:val="32"/>
        </w:rPr>
        <w:t>万元。</w:t>
      </w:r>
    </w:p>
    <w:p>
      <w:pPr>
        <w:tabs>
          <w:tab w:val="left" w:pos="7560"/>
        </w:tabs>
        <w:adjustRightInd w:val="0"/>
        <w:snapToGrid w:val="0"/>
        <w:spacing w:line="560" w:lineRule="exact"/>
        <w:ind w:firstLine="640" w:firstLineChars="200"/>
        <w:jc w:val="left"/>
        <w:rPr>
          <w:rFonts w:eastAsia="仿宋_GB2312"/>
          <w:color w:val="auto"/>
          <w:sz w:val="32"/>
          <w:szCs w:val="32"/>
        </w:rPr>
      </w:pPr>
      <w:r>
        <w:rPr>
          <w:rFonts w:eastAsia="仿宋_GB2312"/>
          <w:color w:val="auto"/>
          <w:sz w:val="32"/>
          <w:szCs w:val="32"/>
        </w:rPr>
        <w:t>20</w:t>
      </w:r>
      <w:r>
        <w:rPr>
          <w:rFonts w:hint="eastAsia" w:eastAsia="仿宋_GB2312"/>
          <w:color w:val="auto"/>
          <w:sz w:val="32"/>
          <w:szCs w:val="32"/>
        </w:rPr>
        <w:t>21</w:t>
      </w:r>
      <w:r>
        <w:rPr>
          <w:rFonts w:eastAsia="仿宋_GB2312"/>
          <w:color w:val="auto"/>
          <w:sz w:val="32"/>
          <w:szCs w:val="32"/>
        </w:rPr>
        <w:t>年预算安排培训费</w:t>
      </w:r>
      <w:r>
        <w:rPr>
          <w:rFonts w:hint="eastAsia" w:eastAsia="仿宋_GB2312"/>
          <w:color w:val="auto"/>
          <w:sz w:val="32"/>
          <w:szCs w:val="32"/>
        </w:rPr>
        <w:t>0</w:t>
      </w:r>
      <w:r>
        <w:rPr>
          <w:rFonts w:eastAsia="仿宋_GB2312"/>
          <w:color w:val="auto"/>
          <w:sz w:val="32"/>
          <w:szCs w:val="32"/>
        </w:rPr>
        <w:t>万元。</w:t>
      </w:r>
    </w:p>
    <w:p>
      <w:pPr>
        <w:numPr>
          <w:ilvl w:val="0"/>
          <w:numId w:val="0"/>
        </w:numPr>
        <w:tabs>
          <w:tab w:val="left" w:pos="7560"/>
        </w:tabs>
        <w:adjustRightInd w:val="0"/>
        <w:snapToGrid w:val="0"/>
        <w:spacing w:line="560" w:lineRule="exact"/>
        <w:ind w:firstLine="640" w:firstLineChars="200"/>
        <w:jc w:val="left"/>
        <w:rPr>
          <w:rFonts w:eastAsia="楷体_GB2312"/>
          <w:bCs/>
          <w:color w:val="auto"/>
          <w:sz w:val="32"/>
          <w:szCs w:val="32"/>
        </w:rPr>
      </w:pPr>
      <w:r>
        <w:rPr>
          <w:rFonts w:hint="eastAsia" w:eastAsia="楷体_GB2312"/>
          <w:bCs/>
          <w:color w:val="auto"/>
          <w:sz w:val="32"/>
          <w:szCs w:val="32"/>
          <w:lang w:eastAsia="zh-CN"/>
        </w:rPr>
        <w:t>（</w:t>
      </w:r>
      <w:r>
        <w:rPr>
          <w:rFonts w:hint="eastAsia" w:eastAsia="楷体_GB2312"/>
          <w:bCs/>
          <w:color w:val="auto"/>
          <w:sz w:val="32"/>
          <w:szCs w:val="32"/>
          <w:lang w:val="en-US" w:eastAsia="zh-CN"/>
        </w:rPr>
        <w:t>七</w:t>
      </w:r>
      <w:r>
        <w:rPr>
          <w:rFonts w:hint="eastAsia" w:eastAsia="楷体_GB2312"/>
          <w:bCs/>
          <w:color w:val="auto"/>
          <w:sz w:val="32"/>
          <w:szCs w:val="32"/>
          <w:lang w:eastAsia="zh-CN"/>
        </w:rPr>
        <w:t>）</w:t>
      </w:r>
      <w:r>
        <w:rPr>
          <w:rFonts w:eastAsia="楷体_GB2312"/>
          <w:bCs/>
          <w:color w:val="auto"/>
          <w:sz w:val="32"/>
          <w:szCs w:val="32"/>
        </w:rPr>
        <w:t>其他事项。</w:t>
      </w:r>
    </w:p>
    <w:p>
      <w:pPr>
        <w:tabs>
          <w:tab w:val="left" w:pos="7560"/>
        </w:tabs>
        <w:adjustRightInd w:val="0"/>
        <w:snapToGrid w:val="0"/>
        <w:spacing w:line="560" w:lineRule="exact"/>
        <w:ind w:firstLine="640" w:firstLineChars="200"/>
        <w:jc w:val="left"/>
        <w:rPr>
          <w:rFonts w:eastAsia="仿宋_GB2312"/>
          <w:color w:val="auto"/>
          <w:sz w:val="32"/>
          <w:szCs w:val="32"/>
        </w:rPr>
      </w:pPr>
      <w:r>
        <w:rPr>
          <w:rFonts w:eastAsia="仿宋_GB2312"/>
          <w:color w:val="auto"/>
          <w:sz w:val="32"/>
          <w:szCs w:val="32"/>
        </w:rPr>
        <w:t>本单位2021年预算未安排政府性基金收支预算</w:t>
      </w:r>
      <w:r>
        <w:rPr>
          <w:rFonts w:hint="eastAsia" w:eastAsia="仿宋_GB2312"/>
          <w:color w:val="auto"/>
          <w:sz w:val="32"/>
          <w:szCs w:val="32"/>
        </w:rPr>
        <w:t>。</w:t>
      </w:r>
    </w:p>
    <w:p>
      <w:pPr>
        <w:tabs>
          <w:tab w:val="left" w:pos="7560"/>
        </w:tabs>
        <w:adjustRightInd w:val="0"/>
        <w:snapToGrid w:val="0"/>
        <w:spacing w:line="560" w:lineRule="exact"/>
        <w:ind w:firstLine="640" w:firstLineChars="200"/>
        <w:jc w:val="left"/>
        <w:rPr>
          <w:rFonts w:eastAsia="仿宋_GB2312"/>
          <w:color w:val="auto"/>
          <w:sz w:val="32"/>
          <w:szCs w:val="32"/>
        </w:rPr>
      </w:pPr>
      <w:r>
        <w:rPr>
          <w:rFonts w:eastAsia="仿宋_GB2312"/>
          <w:color w:val="auto"/>
          <w:sz w:val="32"/>
          <w:szCs w:val="32"/>
        </w:rPr>
        <w:t>本单位2021年预算未安排</w:t>
      </w:r>
      <w:r>
        <w:rPr>
          <w:rFonts w:hint="eastAsia" w:eastAsia="仿宋_GB2312"/>
          <w:color w:val="auto"/>
          <w:sz w:val="32"/>
          <w:szCs w:val="32"/>
        </w:rPr>
        <w:t>纳入专户管理的非税收入拨款。</w:t>
      </w:r>
    </w:p>
    <w:p>
      <w:pPr>
        <w:tabs>
          <w:tab w:val="left" w:pos="7560"/>
        </w:tabs>
        <w:adjustRightInd w:val="0"/>
        <w:snapToGrid w:val="0"/>
        <w:spacing w:line="560" w:lineRule="exact"/>
        <w:ind w:firstLine="640" w:firstLineChars="200"/>
        <w:jc w:val="left"/>
        <w:rPr>
          <w:rFonts w:eastAsia="仿宋_GB2312"/>
          <w:color w:val="auto"/>
          <w:sz w:val="32"/>
          <w:szCs w:val="32"/>
        </w:rPr>
      </w:pPr>
      <w:r>
        <w:rPr>
          <w:rFonts w:hint="eastAsia" w:eastAsia="仿宋_GB2312"/>
          <w:color w:val="auto"/>
          <w:sz w:val="32"/>
          <w:szCs w:val="32"/>
        </w:rPr>
        <w:t>本单位无门户网站，预算在政府网统一公开。</w:t>
      </w:r>
    </w:p>
    <w:p>
      <w:pPr>
        <w:numPr>
          <w:ilvl w:val="0"/>
          <w:numId w:val="0"/>
        </w:numPr>
        <w:tabs>
          <w:tab w:val="left" w:pos="7560"/>
        </w:tabs>
        <w:adjustRightInd w:val="0"/>
        <w:snapToGrid w:val="0"/>
        <w:spacing w:line="560" w:lineRule="exact"/>
        <w:ind w:firstLine="640" w:firstLineChars="200"/>
        <w:jc w:val="left"/>
        <w:rPr>
          <w:rFonts w:hAnsi="黑体" w:eastAsia="黑体"/>
          <w:color w:val="auto"/>
          <w:sz w:val="32"/>
          <w:szCs w:val="32"/>
        </w:rPr>
      </w:pPr>
      <w:r>
        <w:rPr>
          <w:rFonts w:hint="eastAsia" w:hAnsi="黑体" w:eastAsia="黑体"/>
          <w:color w:val="auto"/>
          <w:sz w:val="32"/>
          <w:szCs w:val="32"/>
          <w:lang w:val="en-US" w:eastAsia="zh-CN"/>
        </w:rPr>
        <w:t>五、</w:t>
      </w:r>
      <w:r>
        <w:rPr>
          <w:rFonts w:hAnsi="黑体" w:eastAsia="黑体"/>
          <w:color w:val="auto"/>
          <w:sz w:val="32"/>
          <w:szCs w:val="32"/>
        </w:rPr>
        <w:t>名词解释：</w:t>
      </w:r>
    </w:p>
    <w:p>
      <w:pPr>
        <w:tabs>
          <w:tab w:val="left" w:pos="7560"/>
        </w:tabs>
        <w:adjustRightInd w:val="0"/>
        <w:snapToGrid w:val="0"/>
        <w:spacing w:line="560" w:lineRule="exact"/>
        <w:ind w:firstLine="643" w:firstLineChars="200"/>
        <w:jc w:val="left"/>
        <w:rPr>
          <w:rFonts w:eastAsia="仿宋_GB2312"/>
          <w:color w:val="auto"/>
          <w:sz w:val="32"/>
          <w:szCs w:val="32"/>
        </w:rPr>
      </w:pPr>
      <w:r>
        <w:rPr>
          <w:rFonts w:eastAsia="仿宋_GB2312"/>
          <w:b/>
          <w:color w:val="auto"/>
          <w:sz w:val="32"/>
          <w:szCs w:val="32"/>
        </w:rPr>
        <w:t>1.一般公共预算:</w:t>
      </w:r>
      <w:r>
        <w:rPr>
          <w:rFonts w:eastAsia="仿宋_GB2312"/>
          <w:color w:val="auto"/>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color w:val="auto"/>
          <w:sz w:val="32"/>
          <w:szCs w:val="32"/>
        </w:rPr>
      </w:pPr>
      <w:r>
        <w:rPr>
          <w:rFonts w:eastAsia="仿宋_GB2312"/>
          <w:b/>
          <w:color w:val="auto"/>
          <w:sz w:val="32"/>
          <w:szCs w:val="32"/>
        </w:rPr>
        <w:t>2.政府性基金预算:</w:t>
      </w:r>
      <w:r>
        <w:rPr>
          <w:rFonts w:eastAsia="仿宋_GB2312"/>
          <w:color w:val="auto"/>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color w:val="auto"/>
          <w:sz w:val="32"/>
          <w:szCs w:val="32"/>
        </w:rPr>
      </w:pPr>
      <w:r>
        <w:rPr>
          <w:rFonts w:eastAsia="仿宋_GB2312"/>
          <w:b/>
          <w:color w:val="auto"/>
          <w:sz w:val="32"/>
          <w:szCs w:val="32"/>
        </w:rPr>
        <w:t xml:space="preserve">3.国有资本经营预算: </w:t>
      </w:r>
      <w:r>
        <w:rPr>
          <w:rFonts w:eastAsia="仿宋_GB2312"/>
          <w:color w:val="auto"/>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color w:val="auto"/>
          <w:sz w:val="32"/>
          <w:szCs w:val="32"/>
        </w:rPr>
      </w:pPr>
      <w:r>
        <w:rPr>
          <w:rFonts w:eastAsia="仿宋_GB2312"/>
          <w:b/>
          <w:color w:val="auto"/>
          <w:sz w:val="32"/>
          <w:szCs w:val="32"/>
        </w:rPr>
        <w:t>4.社会保险基金预算:</w:t>
      </w:r>
      <w:r>
        <w:rPr>
          <w:rFonts w:eastAsia="仿宋_GB2312"/>
          <w:color w:val="auto"/>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color w:val="auto"/>
          <w:sz w:val="32"/>
          <w:szCs w:val="32"/>
        </w:rPr>
      </w:pPr>
      <w:r>
        <w:rPr>
          <w:rFonts w:eastAsia="仿宋_GB2312"/>
          <w:b/>
          <w:color w:val="auto"/>
          <w:sz w:val="32"/>
          <w:szCs w:val="32"/>
        </w:rPr>
        <w:t>5.基本支出：</w:t>
      </w:r>
      <w:r>
        <w:rPr>
          <w:rFonts w:eastAsia="仿宋_GB2312"/>
          <w:color w:val="auto"/>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color w:val="auto"/>
          <w:sz w:val="32"/>
          <w:szCs w:val="32"/>
        </w:rPr>
      </w:pPr>
      <w:r>
        <w:rPr>
          <w:rFonts w:eastAsia="仿宋_GB2312"/>
          <w:b/>
          <w:color w:val="auto"/>
          <w:sz w:val="32"/>
          <w:szCs w:val="32"/>
        </w:rPr>
        <w:t>6.项目支出：</w:t>
      </w:r>
      <w:r>
        <w:rPr>
          <w:rFonts w:eastAsia="仿宋_GB2312"/>
          <w:color w:val="auto"/>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color w:val="auto"/>
          <w:sz w:val="32"/>
          <w:szCs w:val="32"/>
          <w:lang w:eastAsia="zh-CN"/>
        </w:rPr>
      </w:pPr>
      <w:r>
        <w:rPr>
          <w:rFonts w:eastAsia="仿宋_GB2312"/>
          <w:b/>
          <w:color w:val="auto"/>
          <w:sz w:val="32"/>
          <w:szCs w:val="32"/>
        </w:rPr>
        <w:t>7.“三公”经费：</w:t>
      </w:r>
      <w:r>
        <w:rPr>
          <w:rFonts w:eastAsia="仿宋_GB2312"/>
          <w:color w:val="auto"/>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color w:val="auto"/>
          <w:sz w:val="32"/>
          <w:szCs w:val="32"/>
          <w:lang w:val="en-US" w:eastAsia="zh-CN"/>
        </w:rPr>
        <w:t xml:space="preserve">        </w:t>
      </w:r>
      <w:r>
        <w:rPr>
          <w:rFonts w:eastAsia="仿宋_GB2312"/>
          <w:b/>
          <w:color w:val="auto"/>
          <w:sz w:val="32"/>
          <w:szCs w:val="32"/>
        </w:rPr>
        <w:t>8.机关运行经费：</w:t>
      </w:r>
      <w:r>
        <w:rPr>
          <w:rFonts w:eastAsia="仿宋_GB2312"/>
          <w:color w:val="auto"/>
          <w:sz w:val="32"/>
          <w:szCs w:val="32"/>
        </w:rPr>
        <w:t>机关运行经费指为保障行政单位（包括参照公务员法管理的事业单位）运行，用于购买货物和服务的各项资金。包括办公及印刷费、邮电费</w:t>
      </w:r>
      <w:r>
        <w:rPr>
          <w:rFonts w:eastAsia="仿宋_GB2312"/>
          <w:sz w:val="32"/>
          <w:szCs w:val="32"/>
        </w:rPr>
        <w:t>、差旅费、会议费、福利费、日常维修费、专用材料费及一般设备购置费、办公用房水电费、公务用车运行维护费及其他费用。</w:t>
      </w:r>
    </w:p>
    <w:p>
      <w:pPr>
        <w:numPr>
          <w:ilvl w:val="0"/>
          <w:numId w:val="0"/>
        </w:numPr>
        <w:tabs>
          <w:tab w:val="left" w:pos="7560"/>
        </w:tabs>
        <w:adjustRightInd w:val="0"/>
        <w:snapToGrid w:val="0"/>
        <w:spacing w:line="560" w:lineRule="exact"/>
        <w:ind w:firstLine="640" w:firstLineChars="200"/>
        <w:jc w:val="left"/>
        <w:rPr>
          <w:rFonts w:hAnsi="黑体" w:eastAsia="黑体"/>
          <w:color w:val="000000"/>
          <w:sz w:val="32"/>
          <w:szCs w:val="32"/>
        </w:rPr>
      </w:pPr>
      <w:r>
        <w:rPr>
          <w:rFonts w:hAnsi="黑体" w:eastAsia="黑体"/>
          <w:color w:val="000000"/>
          <w:sz w:val="32"/>
          <w:szCs w:val="32"/>
        </w:rPr>
        <w:t>六、部门预算公开表格</w:t>
      </w:r>
    </w:p>
    <w:p>
      <w:pPr>
        <w:pStyle w:val="2"/>
        <w:rPr>
          <w:rFonts w:hAnsi="黑体" w:eastAsia="黑体"/>
          <w:color w:val="000000"/>
          <w:sz w:val="32"/>
          <w:szCs w:val="32"/>
        </w:rPr>
      </w:pPr>
    </w:p>
    <w:p>
      <w:pPr>
        <w:pStyle w:val="2"/>
        <w:rPr>
          <w:rFonts w:hAnsi="黑体" w:eastAsia="黑体"/>
          <w:color w:val="000000"/>
          <w:sz w:val="32"/>
          <w:szCs w:val="32"/>
        </w:rPr>
      </w:pPr>
    </w:p>
    <w:p>
      <w:pPr>
        <w:pStyle w:val="2"/>
        <w:rPr>
          <w:rFonts w:hAnsi="黑体" w:eastAsia="黑体"/>
          <w:color w:val="000000"/>
          <w:sz w:val="32"/>
          <w:szCs w:val="32"/>
        </w:rPr>
      </w:pPr>
    </w:p>
    <w:p>
      <w:pPr>
        <w:pStyle w:val="2"/>
        <w:rPr>
          <w:rFonts w:hAnsi="黑体" w:eastAsia="黑体"/>
          <w:color w:val="000000"/>
          <w:sz w:val="32"/>
          <w:szCs w:val="32"/>
        </w:rPr>
      </w:pPr>
    </w:p>
    <w:p>
      <w:pPr>
        <w:pStyle w:val="2"/>
        <w:rPr>
          <w:rFonts w:hAnsi="黑体" w:eastAsia="黑体"/>
          <w:color w:val="000000"/>
          <w:sz w:val="32"/>
          <w:szCs w:val="32"/>
        </w:rPr>
      </w:pPr>
    </w:p>
    <w:p>
      <w:pPr>
        <w:pStyle w:val="2"/>
        <w:rPr>
          <w:rFonts w:hAnsi="黑体" w:eastAsia="黑体"/>
          <w:color w:val="000000"/>
          <w:sz w:val="32"/>
          <w:szCs w:val="32"/>
        </w:rPr>
      </w:pPr>
    </w:p>
    <w:p>
      <w:pPr>
        <w:pStyle w:val="2"/>
        <w:rPr>
          <w:rFonts w:hAnsi="黑体" w:eastAsia="黑体"/>
          <w:color w:val="000000"/>
          <w:sz w:val="32"/>
          <w:szCs w:val="32"/>
        </w:rPr>
      </w:pPr>
    </w:p>
    <w:p>
      <w:pPr>
        <w:pStyle w:val="2"/>
        <w:rPr>
          <w:rFonts w:hAnsi="黑体" w:eastAsia="黑体"/>
          <w:color w:val="000000"/>
          <w:sz w:val="32"/>
          <w:szCs w:val="32"/>
        </w:rPr>
        <w:sectPr>
          <w:pgSz w:w="11906" w:h="16838"/>
          <w:pgMar w:top="1440" w:right="1800" w:bottom="1440" w:left="1800" w:header="708" w:footer="708" w:gutter="0"/>
          <w:cols w:space="708" w:num="1"/>
          <w:docGrid w:linePitch="360" w:charSpace="0"/>
        </w:sect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697595" cy="5269865"/>
            <wp:effectExtent l="0" t="0" r="1905" b="635"/>
            <wp:docPr id="1" name="图片 1" descr="166126380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1263803650"/>
                    <pic:cNvPicPr>
                      <a:picLocks noChangeAspect="1"/>
                    </pic:cNvPicPr>
                  </pic:nvPicPr>
                  <pic:blipFill>
                    <a:blip r:embed="rId4"/>
                    <a:stretch>
                      <a:fillRect/>
                    </a:stretch>
                  </pic:blipFill>
                  <pic:spPr>
                    <a:xfrm>
                      <a:off x="0" y="0"/>
                      <a:ext cx="8697595" cy="5269865"/>
                    </a:xfrm>
                    <a:prstGeom prst="rect">
                      <a:avLst/>
                    </a:prstGeom>
                  </pic:spPr>
                </pic:pic>
              </a:graphicData>
            </a:graphic>
          </wp:inline>
        </w:drawing>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58250" cy="1941830"/>
            <wp:effectExtent l="0" t="0" r="0" b="10795"/>
            <wp:docPr id="2" name="图片 2" descr="1661263899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61263899054"/>
                    <pic:cNvPicPr>
                      <a:picLocks noChangeAspect="1"/>
                    </pic:cNvPicPr>
                  </pic:nvPicPr>
                  <pic:blipFill>
                    <a:blip r:embed="rId5"/>
                    <a:stretch>
                      <a:fillRect/>
                    </a:stretch>
                  </pic:blipFill>
                  <pic:spPr>
                    <a:xfrm>
                      <a:off x="0" y="0"/>
                      <a:ext cx="8858250" cy="1941830"/>
                    </a:xfrm>
                    <a:prstGeom prst="rect">
                      <a:avLst/>
                    </a:prstGeom>
                  </pic:spPr>
                </pic:pic>
              </a:graphicData>
            </a:graphic>
          </wp:inline>
        </w:drawing>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069580" cy="5271770"/>
            <wp:effectExtent l="0" t="0" r="10795" b="14605"/>
            <wp:docPr id="3" name="图片 3" descr="1661263946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1263946368"/>
                    <pic:cNvPicPr>
                      <a:picLocks noChangeAspect="1"/>
                    </pic:cNvPicPr>
                  </pic:nvPicPr>
                  <pic:blipFill>
                    <a:blip r:embed="rId6"/>
                    <a:stretch>
                      <a:fillRect/>
                    </a:stretch>
                  </pic:blipFill>
                  <pic:spPr>
                    <a:xfrm>
                      <a:off x="0" y="0"/>
                      <a:ext cx="8069580" cy="5271770"/>
                    </a:xfrm>
                    <a:prstGeom prst="rect">
                      <a:avLst/>
                    </a:prstGeom>
                  </pic:spPr>
                </pic:pic>
              </a:graphicData>
            </a:graphic>
          </wp:inline>
        </w:drawing>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55710" cy="4644390"/>
            <wp:effectExtent l="0" t="0" r="2540" b="6985"/>
            <wp:docPr id="4" name="图片 4" descr="1661263980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61263980308"/>
                    <pic:cNvPicPr>
                      <a:picLocks noChangeAspect="1"/>
                    </pic:cNvPicPr>
                  </pic:nvPicPr>
                  <pic:blipFill>
                    <a:blip r:embed="rId7"/>
                    <a:stretch>
                      <a:fillRect/>
                    </a:stretch>
                  </pic:blipFill>
                  <pic:spPr>
                    <a:xfrm>
                      <a:off x="0" y="0"/>
                      <a:ext cx="8855710" cy="4644390"/>
                    </a:xfrm>
                    <a:prstGeom prst="rect">
                      <a:avLst/>
                    </a:prstGeom>
                  </pic:spPr>
                </pic:pic>
              </a:graphicData>
            </a:graphic>
          </wp:inline>
        </w:drawing>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56980" cy="2308860"/>
            <wp:effectExtent l="0" t="0" r="1270" b="8890"/>
            <wp:docPr id="5" name="图片 5" descr="1661264027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61264027458"/>
                    <pic:cNvPicPr>
                      <a:picLocks noChangeAspect="1"/>
                    </pic:cNvPicPr>
                  </pic:nvPicPr>
                  <pic:blipFill>
                    <a:blip r:embed="rId8"/>
                    <a:stretch>
                      <a:fillRect/>
                    </a:stretch>
                  </pic:blipFill>
                  <pic:spPr>
                    <a:xfrm>
                      <a:off x="0" y="0"/>
                      <a:ext cx="8856980" cy="2308860"/>
                    </a:xfrm>
                    <a:prstGeom prst="rect">
                      <a:avLst/>
                    </a:prstGeom>
                  </pic:spPr>
                </pic:pic>
              </a:graphicData>
            </a:graphic>
          </wp:inline>
        </w:drawing>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58885" cy="2085340"/>
            <wp:effectExtent l="0" t="0" r="15240" b="10160"/>
            <wp:docPr id="6" name="图片 6" descr="166126406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61264069657"/>
                    <pic:cNvPicPr>
                      <a:picLocks noChangeAspect="1"/>
                    </pic:cNvPicPr>
                  </pic:nvPicPr>
                  <pic:blipFill>
                    <a:blip r:embed="rId9"/>
                    <a:stretch>
                      <a:fillRect/>
                    </a:stretch>
                  </pic:blipFill>
                  <pic:spPr>
                    <a:xfrm>
                      <a:off x="0" y="0"/>
                      <a:ext cx="8858885" cy="2085340"/>
                    </a:xfrm>
                    <a:prstGeom prst="rect">
                      <a:avLst/>
                    </a:prstGeom>
                  </pic:spPr>
                </pic:pic>
              </a:graphicData>
            </a:graphic>
          </wp:inline>
        </w:drawing>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54440" cy="2657475"/>
            <wp:effectExtent l="0" t="0" r="3810" b="9525"/>
            <wp:docPr id="7" name="图片 7" descr="1661264106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61264106696"/>
                    <pic:cNvPicPr>
                      <a:picLocks noChangeAspect="1"/>
                    </pic:cNvPicPr>
                  </pic:nvPicPr>
                  <pic:blipFill>
                    <a:blip r:embed="rId10"/>
                    <a:stretch>
                      <a:fillRect/>
                    </a:stretch>
                  </pic:blipFill>
                  <pic:spPr>
                    <a:xfrm>
                      <a:off x="0" y="0"/>
                      <a:ext cx="8854440" cy="2657475"/>
                    </a:xfrm>
                    <a:prstGeom prst="rect">
                      <a:avLst/>
                    </a:prstGeom>
                  </pic:spPr>
                </pic:pic>
              </a:graphicData>
            </a:graphic>
          </wp:inline>
        </w:drawing>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56345" cy="1523365"/>
            <wp:effectExtent l="0" t="0" r="1905" b="635"/>
            <wp:docPr id="8" name="图片 8" descr="1661264163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61264163223"/>
                    <pic:cNvPicPr>
                      <a:picLocks noChangeAspect="1"/>
                    </pic:cNvPicPr>
                  </pic:nvPicPr>
                  <pic:blipFill>
                    <a:blip r:embed="rId11"/>
                    <a:stretch>
                      <a:fillRect/>
                    </a:stretch>
                  </pic:blipFill>
                  <pic:spPr>
                    <a:xfrm>
                      <a:off x="0" y="0"/>
                      <a:ext cx="8856345" cy="1523365"/>
                    </a:xfrm>
                    <a:prstGeom prst="rect">
                      <a:avLst/>
                    </a:prstGeom>
                  </pic:spPr>
                </pic:pic>
              </a:graphicData>
            </a:graphic>
          </wp:inline>
        </w:drawing>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54440" cy="2544445"/>
            <wp:effectExtent l="0" t="0" r="3810" b="11430"/>
            <wp:docPr id="9" name="图片 9" descr="1661264204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61264204366"/>
                    <pic:cNvPicPr>
                      <a:picLocks noChangeAspect="1"/>
                    </pic:cNvPicPr>
                  </pic:nvPicPr>
                  <pic:blipFill>
                    <a:blip r:embed="rId12"/>
                    <a:stretch>
                      <a:fillRect/>
                    </a:stretch>
                  </pic:blipFill>
                  <pic:spPr>
                    <a:xfrm>
                      <a:off x="0" y="0"/>
                      <a:ext cx="8854440" cy="2544445"/>
                    </a:xfrm>
                    <a:prstGeom prst="rect">
                      <a:avLst/>
                    </a:prstGeom>
                  </pic:spPr>
                </pic:pic>
              </a:graphicData>
            </a:graphic>
          </wp:inline>
        </w:drawing>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53170" cy="1657350"/>
            <wp:effectExtent l="0" t="0" r="5080" b="9525"/>
            <wp:docPr id="10" name="图片 10" descr="1661264246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61264246545"/>
                    <pic:cNvPicPr>
                      <a:picLocks noChangeAspect="1"/>
                    </pic:cNvPicPr>
                  </pic:nvPicPr>
                  <pic:blipFill>
                    <a:blip r:embed="rId13"/>
                    <a:stretch>
                      <a:fillRect/>
                    </a:stretch>
                  </pic:blipFill>
                  <pic:spPr>
                    <a:xfrm>
                      <a:off x="0" y="0"/>
                      <a:ext cx="8853170" cy="1657350"/>
                    </a:xfrm>
                    <a:prstGeom prst="rect">
                      <a:avLst/>
                    </a:prstGeom>
                  </pic:spPr>
                </pic:pic>
              </a:graphicData>
            </a:graphic>
          </wp:inline>
        </w:drawing>
      </w:r>
    </w:p>
    <w:p>
      <w:pPr>
        <w:pStyle w:val="2"/>
        <w:rPr>
          <w:rFonts w:hint="default" w:hAnsi="黑体" w:eastAsia="黑体"/>
          <w:color w:val="000000"/>
          <w:sz w:val="32"/>
          <w:szCs w:val="32"/>
          <w:lang w:val="en-US" w:eastAsia="zh-CN"/>
        </w:rPr>
      </w:pPr>
      <w:r>
        <w:rPr>
          <w:rFonts w:hint="eastAsia" w:hAnsi="黑体" w:eastAsia="黑体"/>
          <w:color w:val="000000"/>
          <w:sz w:val="32"/>
          <w:szCs w:val="32"/>
          <w:lang w:eastAsia="zh-CN"/>
        </w:rPr>
        <w:t>本单位</w:t>
      </w:r>
      <w:r>
        <w:rPr>
          <w:rFonts w:hint="eastAsia" w:hAnsi="黑体" w:eastAsia="黑体"/>
          <w:color w:val="000000"/>
          <w:sz w:val="32"/>
          <w:szCs w:val="32"/>
          <w:lang w:val="en-US" w:eastAsia="zh-CN"/>
        </w:rPr>
        <w:t>2021年无基本--对个人和家庭的补助（部门）预算。</w:t>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60155" cy="2385695"/>
            <wp:effectExtent l="0" t="0" r="13970" b="11430"/>
            <wp:docPr id="11" name="图片 11" descr="1661264302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61264302898"/>
                    <pic:cNvPicPr>
                      <a:picLocks noChangeAspect="1"/>
                    </pic:cNvPicPr>
                  </pic:nvPicPr>
                  <pic:blipFill>
                    <a:blip r:embed="rId14"/>
                    <a:stretch>
                      <a:fillRect/>
                    </a:stretch>
                  </pic:blipFill>
                  <pic:spPr>
                    <a:xfrm>
                      <a:off x="0" y="0"/>
                      <a:ext cx="8860155" cy="2385695"/>
                    </a:xfrm>
                    <a:prstGeom prst="rect">
                      <a:avLst/>
                    </a:prstGeom>
                  </pic:spPr>
                </pic:pic>
              </a:graphicData>
            </a:graphic>
          </wp:inline>
        </w:drawing>
      </w:r>
    </w:p>
    <w:p>
      <w:pPr>
        <w:pStyle w:val="2"/>
        <w:rPr>
          <w:rFonts w:hint="default" w:hAnsi="黑体" w:eastAsia="黑体"/>
          <w:color w:val="000000"/>
          <w:sz w:val="32"/>
          <w:szCs w:val="32"/>
          <w:lang w:val="en-US" w:eastAsia="zh-CN"/>
        </w:rPr>
      </w:pPr>
      <w:r>
        <w:rPr>
          <w:rFonts w:hint="eastAsia" w:hAnsi="黑体" w:eastAsia="黑体"/>
          <w:color w:val="000000"/>
          <w:sz w:val="32"/>
          <w:szCs w:val="32"/>
          <w:lang w:eastAsia="zh-CN"/>
        </w:rPr>
        <w:t>本单位</w:t>
      </w:r>
      <w:r>
        <w:rPr>
          <w:rFonts w:hint="eastAsia" w:hAnsi="黑体" w:eastAsia="黑体"/>
          <w:color w:val="000000"/>
          <w:sz w:val="32"/>
          <w:szCs w:val="32"/>
          <w:lang w:val="en-US" w:eastAsia="zh-CN"/>
        </w:rPr>
        <w:t>2021年无基本-对个人和家庭的补助（政府）预算。</w:t>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7554595" cy="5268595"/>
            <wp:effectExtent l="0" t="0" r="1905" b="1905"/>
            <wp:docPr id="13" name="图片 13" descr="166126438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61264381028"/>
                    <pic:cNvPicPr>
                      <a:picLocks noChangeAspect="1"/>
                    </pic:cNvPicPr>
                  </pic:nvPicPr>
                  <pic:blipFill>
                    <a:blip r:embed="rId15"/>
                    <a:stretch>
                      <a:fillRect/>
                    </a:stretch>
                  </pic:blipFill>
                  <pic:spPr>
                    <a:xfrm>
                      <a:off x="0" y="0"/>
                      <a:ext cx="7554595" cy="5268595"/>
                    </a:xfrm>
                    <a:prstGeom prst="rect">
                      <a:avLst/>
                    </a:prstGeom>
                  </pic:spPr>
                </pic:pic>
              </a:graphicData>
            </a:graphic>
          </wp:inline>
        </w:drawing>
      </w: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58250" cy="3125470"/>
            <wp:effectExtent l="0" t="0" r="0" b="1905"/>
            <wp:docPr id="14" name="图片 14" descr="1661264408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61264408238"/>
                    <pic:cNvPicPr>
                      <a:picLocks noChangeAspect="1"/>
                    </pic:cNvPicPr>
                  </pic:nvPicPr>
                  <pic:blipFill>
                    <a:blip r:embed="rId16"/>
                    <a:stretch>
                      <a:fillRect/>
                    </a:stretch>
                  </pic:blipFill>
                  <pic:spPr>
                    <a:xfrm>
                      <a:off x="0" y="0"/>
                      <a:ext cx="8858250" cy="3125470"/>
                    </a:xfrm>
                    <a:prstGeom prst="rect">
                      <a:avLst/>
                    </a:prstGeom>
                  </pic:spPr>
                </pic:pic>
              </a:graphicData>
            </a:graphic>
          </wp:inline>
        </w:drawing>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62060" cy="3954780"/>
            <wp:effectExtent l="0" t="0" r="12065" b="13970"/>
            <wp:docPr id="15" name="图片 15" descr="1661264436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61264436446"/>
                    <pic:cNvPicPr>
                      <a:picLocks noChangeAspect="1"/>
                    </pic:cNvPicPr>
                  </pic:nvPicPr>
                  <pic:blipFill>
                    <a:blip r:embed="rId17"/>
                    <a:stretch>
                      <a:fillRect/>
                    </a:stretch>
                  </pic:blipFill>
                  <pic:spPr>
                    <a:xfrm>
                      <a:off x="0" y="0"/>
                      <a:ext cx="8862060" cy="3954780"/>
                    </a:xfrm>
                    <a:prstGeom prst="rect">
                      <a:avLst/>
                    </a:prstGeom>
                  </pic:spPr>
                </pic:pic>
              </a:graphicData>
            </a:graphic>
          </wp:inline>
        </w:drawing>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56980" cy="3767455"/>
            <wp:effectExtent l="0" t="0" r="1270" b="10795"/>
            <wp:docPr id="16" name="图片 16" descr="166126447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61264471517"/>
                    <pic:cNvPicPr>
                      <a:picLocks noChangeAspect="1"/>
                    </pic:cNvPicPr>
                  </pic:nvPicPr>
                  <pic:blipFill>
                    <a:blip r:embed="rId18"/>
                    <a:stretch>
                      <a:fillRect/>
                    </a:stretch>
                  </pic:blipFill>
                  <pic:spPr>
                    <a:xfrm>
                      <a:off x="0" y="0"/>
                      <a:ext cx="8856980" cy="3767455"/>
                    </a:xfrm>
                    <a:prstGeom prst="rect">
                      <a:avLst/>
                    </a:prstGeom>
                  </pic:spPr>
                </pic:pic>
              </a:graphicData>
            </a:graphic>
          </wp:inline>
        </w:drawing>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62060" cy="2938145"/>
            <wp:effectExtent l="0" t="0" r="12065" b="14605"/>
            <wp:docPr id="17" name="图片 17" descr="1661264499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61264499293"/>
                    <pic:cNvPicPr>
                      <a:picLocks noChangeAspect="1"/>
                    </pic:cNvPicPr>
                  </pic:nvPicPr>
                  <pic:blipFill>
                    <a:blip r:embed="rId19"/>
                    <a:stretch>
                      <a:fillRect/>
                    </a:stretch>
                  </pic:blipFill>
                  <pic:spPr>
                    <a:xfrm>
                      <a:off x="0" y="0"/>
                      <a:ext cx="8862060" cy="2938145"/>
                    </a:xfrm>
                    <a:prstGeom prst="rect">
                      <a:avLst/>
                    </a:prstGeom>
                  </pic:spPr>
                </pic:pic>
              </a:graphicData>
            </a:graphic>
          </wp:inline>
        </w:drawing>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61425" cy="3126740"/>
            <wp:effectExtent l="0" t="0" r="12700" b="635"/>
            <wp:docPr id="18" name="图片 18" descr="166126453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61264532010"/>
                    <pic:cNvPicPr>
                      <a:picLocks noChangeAspect="1"/>
                    </pic:cNvPicPr>
                  </pic:nvPicPr>
                  <pic:blipFill>
                    <a:blip r:embed="rId20"/>
                    <a:stretch>
                      <a:fillRect/>
                    </a:stretch>
                  </pic:blipFill>
                  <pic:spPr>
                    <a:xfrm>
                      <a:off x="0" y="0"/>
                      <a:ext cx="8861425" cy="3126740"/>
                    </a:xfrm>
                    <a:prstGeom prst="rect">
                      <a:avLst/>
                    </a:prstGeom>
                  </pic:spPr>
                </pic:pic>
              </a:graphicData>
            </a:graphic>
          </wp:inline>
        </w:drawing>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57615" cy="2662555"/>
            <wp:effectExtent l="0" t="0" r="635" b="4445"/>
            <wp:docPr id="19" name="图片 19" descr="1661264574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61264574622"/>
                    <pic:cNvPicPr>
                      <a:picLocks noChangeAspect="1"/>
                    </pic:cNvPicPr>
                  </pic:nvPicPr>
                  <pic:blipFill>
                    <a:blip r:embed="rId21"/>
                    <a:stretch>
                      <a:fillRect/>
                    </a:stretch>
                  </pic:blipFill>
                  <pic:spPr>
                    <a:xfrm>
                      <a:off x="0" y="0"/>
                      <a:ext cx="8857615" cy="2662555"/>
                    </a:xfrm>
                    <a:prstGeom prst="rect">
                      <a:avLst/>
                    </a:prstGeom>
                  </pic:spPr>
                </pic:pic>
              </a:graphicData>
            </a:graphic>
          </wp:inline>
        </w:drawing>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484235" cy="4166235"/>
            <wp:effectExtent l="0" t="0" r="8890" b="8890"/>
            <wp:docPr id="20" name="图片 20" descr="1661264607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61264607790"/>
                    <pic:cNvPicPr>
                      <a:picLocks noChangeAspect="1"/>
                    </pic:cNvPicPr>
                  </pic:nvPicPr>
                  <pic:blipFill>
                    <a:blip r:embed="rId22"/>
                    <a:stretch>
                      <a:fillRect/>
                    </a:stretch>
                  </pic:blipFill>
                  <pic:spPr>
                    <a:xfrm>
                      <a:off x="0" y="0"/>
                      <a:ext cx="8484235" cy="4166235"/>
                    </a:xfrm>
                    <a:prstGeom prst="rect">
                      <a:avLst/>
                    </a:prstGeom>
                  </pic:spPr>
                </pic:pic>
              </a:graphicData>
            </a:graphic>
          </wp:inline>
        </w:drawing>
      </w:r>
    </w:p>
    <w:p>
      <w:pPr>
        <w:pStyle w:val="2"/>
        <w:rPr>
          <w:rFonts w:hint="default" w:hAnsi="黑体" w:eastAsia="黑体"/>
          <w:color w:val="000000"/>
          <w:sz w:val="32"/>
          <w:szCs w:val="32"/>
          <w:lang w:val="en-US" w:eastAsia="zh-CN"/>
        </w:rPr>
      </w:pPr>
      <w:r>
        <w:rPr>
          <w:rFonts w:hint="eastAsia" w:hAnsi="黑体" w:eastAsia="黑体"/>
          <w:color w:val="000000"/>
          <w:sz w:val="32"/>
          <w:szCs w:val="32"/>
          <w:lang w:eastAsia="zh-CN"/>
        </w:rPr>
        <w:t>本单位</w:t>
      </w:r>
      <w:r>
        <w:rPr>
          <w:rFonts w:hint="eastAsia" w:hAnsi="黑体" w:eastAsia="黑体"/>
          <w:color w:val="000000"/>
          <w:sz w:val="32"/>
          <w:szCs w:val="32"/>
          <w:lang w:val="en-US" w:eastAsia="zh-CN"/>
        </w:rPr>
        <w:t>2021年无一般公共预算基本支出预算明细表--对个人和家庭的补助预算。</w:t>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53170" cy="1624965"/>
            <wp:effectExtent l="0" t="0" r="5080" b="10160"/>
            <wp:docPr id="21" name="图片 21" descr="1661264639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661264639249"/>
                    <pic:cNvPicPr>
                      <a:picLocks noChangeAspect="1"/>
                    </pic:cNvPicPr>
                  </pic:nvPicPr>
                  <pic:blipFill>
                    <a:blip r:embed="rId23"/>
                    <a:stretch>
                      <a:fillRect/>
                    </a:stretch>
                  </pic:blipFill>
                  <pic:spPr>
                    <a:xfrm>
                      <a:off x="0" y="0"/>
                      <a:ext cx="8853170" cy="1624965"/>
                    </a:xfrm>
                    <a:prstGeom prst="rect">
                      <a:avLst/>
                    </a:prstGeom>
                  </pic:spPr>
                </pic:pic>
              </a:graphicData>
            </a:graphic>
          </wp:inline>
        </w:drawing>
      </w:r>
    </w:p>
    <w:p>
      <w:pPr>
        <w:pStyle w:val="2"/>
        <w:rPr>
          <w:rFonts w:hint="default" w:hAnsi="黑体" w:eastAsia="黑体"/>
          <w:color w:val="000000"/>
          <w:sz w:val="32"/>
          <w:szCs w:val="32"/>
          <w:lang w:val="en-US" w:eastAsia="zh-CN"/>
        </w:rPr>
      </w:pPr>
      <w:r>
        <w:rPr>
          <w:rFonts w:hint="eastAsia" w:hAnsi="黑体" w:eastAsia="黑体"/>
          <w:color w:val="000000"/>
          <w:sz w:val="32"/>
          <w:szCs w:val="32"/>
          <w:lang w:eastAsia="zh-CN"/>
        </w:rPr>
        <w:t>本单位</w:t>
      </w:r>
      <w:r>
        <w:rPr>
          <w:rFonts w:hint="eastAsia" w:hAnsi="黑体" w:eastAsia="黑体"/>
          <w:color w:val="000000"/>
          <w:sz w:val="32"/>
          <w:szCs w:val="32"/>
          <w:lang w:val="en-US" w:eastAsia="zh-CN"/>
        </w:rPr>
        <w:t>2021年无一般公共预算基本支出预算明细表--对个人和家庭的补助（政府）预算。</w:t>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63330" cy="1466215"/>
            <wp:effectExtent l="0" t="0" r="10795" b="10160"/>
            <wp:docPr id="22" name="图片 22" descr="1661264670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661264670887"/>
                    <pic:cNvPicPr>
                      <a:picLocks noChangeAspect="1"/>
                    </pic:cNvPicPr>
                  </pic:nvPicPr>
                  <pic:blipFill>
                    <a:blip r:embed="rId24"/>
                    <a:stretch>
                      <a:fillRect/>
                    </a:stretch>
                  </pic:blipFill>
                  <pic:spPr>
                    <a:xfrm>
                      <a:off x="0" y="0"/>
                      <a:ext cx="8863330" cy="1466215"/>
                    </a:xfrm>
                    <a:prstGeom prst="rect">
                      <a:avLst/>
                    </a:prstGeom>
                  </pic:spPr>
                </pic:pic>
              </a:graphicData>
            </a:graphic>
          </wp:inline>
        </w:drawing>
      </w:r>
    </w:p>
    <w:p>
      <w:pPr>
        <w:pStyle w:val="2"/>
        <w:rPr>
          <w:rFonts w:hint="default" w:hAnsi="黑体" w:eastAsia="黑体"/>
          <w:color w:val="000000"/>
          <w:sz w:val="32"/>
          <w:szCs w:val="32"/>
          <w:lang w:val="en-US" w:eastAsia="zh-CN"/>
        </w:rPr>
      </w:pPr>
      <w:r>
        <w:rPr>
          <w:rFonts w:hint="eastAsia" w:hAnsi="黑体" w:eastAsia="黑体"/>
          <w:color w:val="000000"/>
          <w:sz w:val="32"/>
          <w:szCs w:val="32"/>
          <w:lang w:eastAsia="zh-CN"/>
        </w:rPr>
        <w:t>本单位</w:t>
      </w:r>
      <w:r>
        <w:rPr>
          <w:rFonts w:hint="eastAsia" w:hAnsi="黑体" w:eastAsia="黑体"/>
          <w:color w:val="000000"/>
          <w:sz w:val="32"/>
          <w:szCs w:val="32"/>
          <w:lang w:val="en-US" w:eastAsia="zh-CN"/>
        </w:rPr>
        <w:t>2021年无政府性基金（部门）预算。</w:t>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55710" cy="1527810"/>
            <wp:effectExtent l="0" t="0" r="2540" b="12065"/>
            <wp:docPr id="23" name="图片 23" descr="1661264715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661264715147"/>
                    <pic:cNvPicPr>
                      <a:picLocks noChangeAspect="1"/>
                    </pic:cNvPicPr>
                  </pic:nvPicPr>
                  <pic:blipFill>
                    <a:blip r:embed="rId25"/>
                    <a:stretch>
                      <a:fillRect/>
                    </a:stretch>
                  </pic:blipFill>
                  <pic:spPr>
                    <a:xfrm>
                      <a:off x="0" y="0"/>
                      <a:ext cx="8855710" cy="1527810"/>
                    </a:xfrm>
                    <a:prstGeom prst="rect">
                      <a:avLst/>
                    </a:prstGeom>
                  </pic:spPr>
                </pic:pic>
              </a:graphicData>
            </a:graphic>
          </wp:inline>
        </w:drawing>
      </w:r>
    </w:p>
    <w:p>
      <w:pPr>
        <w:pStyle w:val="2"/>
        <w:rPr>
          <w:rFonts w:hint="default" w:hAnsi="黑体" w:eastAsia="黑体"/>
          <w:color w:val="000000"/>
          <w:sz w:val="32"/>
          <w:szCs w:val="32"/>
          <w:lang w:val="en-US" w:eastAsia="zh-CN"/>
        </w:rPr>
      </w:pPr>
      <w:r>
        <w:rPr>
          <w:rFonts w:hint="eastAsia" w:hAnsi="黑体" w:eastAsia="黑体"/>
          <w:color w:val="000000"/>
          <w:sz w:val="32"/>
          <w:szCs w:val="32"/>
          <w:lang w:eastAsia="zh-CN"/>
        </w:rPr>
        <w:t>本单位</w:t>
      </w:r>
      <w:r>
        <w:rPr>
          <w:rFonts w:hint="eastAsia" w:hAnsi="黑体" w:eastAsia="黑体"/>
          <w:color w:val="000000"/>
          <w:sz w:val="32"/>
          <w:szCs w:val="32"/>
          <w:lang w:val="en-US" w:eastAsia="zh-CN"/>
        </w:rPr>
        <w:t>2021年无政府性基金（政府）预算。</w:t>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55710" cy="1847850"/>
            <wp:effectExtent l="0" t="0" r="2540" b="9525"/>
            <wp:docPr id="24" name="图片 24" descr="166126475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1661264750138"/>
                    <pic:cNvPicPr>
                      <a:picLocks noChangeAspect="1"/>
                    </pic:cNvPicPr>
                  </pic:nvPicPr>
                  <pic:blipFill>
                    <a:blip r:embed="rId26"/>
                    <a:stretch>
                      <a:fillRect/>
                    </a:stretch>
                  </pic:blipFill>
                  <pic:spPr>
                    <a:xfrm>
                      <a:off x="0" y="0"/>
                      <a:ext cx="8855710" cy="1847850"/>
                    </a:xfrm>
                    <a:prstGeom prst="rect">
                      <a:avLst/>
                    </a:prstGeom>
                  </pic:spPr>
                </pic:pic>
              </a:graphicData>
            </a:graphic>
          </wp:inline>
        </w:drawing>
      </w:r>
    </w:p>
    <w:p>
      <w:pPr>
        <w:pStyle w:val="2"/>
        <w:rPr>
          <w:rFonts w:hint="default" w:hAnsi="黑体" w:eastAsia="黑体"/>
          <w:color w:val="000000"/>
          <w:sz w:val="32"/>
          <w:szCs w:val="32"/>
          <w:lang w:val="en-US" w:eastAsia="zh-CN"/>
        </w:rPr>
      </w:pPr>
      <w:r>
        <w:rPr>
          <w:rFonts w:hint="eastAsia" w:hAnsi="黑体" w:eastAsia="黑体"/>
          <w:color w:val="000000"/>
          <w:sz w:val="32"/>
          <w:szCs w:val="32"/>
          <w:lang w:eastAsia="zh-CN"/>
        </w:rPr>
        <w:t>本单位</w:t>
      </w:r>
      <w:r>
        <w:rPr>
          <w:rFonts w:hint="eastAsia" w:hAnsi="黑体" w:eastAsia="黑体"/>
          <w:color w:val="000000"/>
          <w:sz w:val="32"/>
          <w:szCs w:val="32"/>
          <w:lang w:val="en-US" w:eastAsia="zh-CN"/>
        </w:rPr>
        <w:t>2021年无纳入专户管理的非税收入拨款预算。</w:t>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58885" cy="1597660"/>
            <wp:effectExtent l="0" t="0" r="15240" b="5715"/>
            <wp:docPr id="25" name="图片 25" descr="166126478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661264780333"/>
                    <pic:cNvPicPr>
                      <a:picLocks noChangeAspect="1"/>
                    </pic:cNvPicPr>
                  </pic:nvPicPr>
                  <pic:blipFill>
                    <a:blip r:embed="rId27"/>
                    <a:stretch>
                      <a:fillRect/>
                    </a:stretch>
                  </pic:blipFill>
                  <pic:spPr>
                    <a:xfrm>
                      <a:off x="0" y="0"/>
                      <a:ext cx="8858885" cy="1597660"/>
                    </a:xfrm>
                    <a:prstGeom prst="rect">
                      <a:avLst/>
                    </a:prstGeom>
                  </pic:spPr>
                </pic:pic>
              </a:graphicData>
            </a:graphic>
          </wp:inline>
        </w:drawing>
      </w:r>
    </w:p>
    <w:p>
      <w:pPr>
        <w:pStyle w:val="2"/>
        <w:rPr>
          <w:rFonts w:hint="default" w:hAnsi="黑体" w:eastAsia="黑体"/>
          <w:color w:val="000000"/>
          <w:sz w:val="32"/>
          <w:szCs w:val="32"/>
          <w:lang w:val="en-US" w:eastAsia="zh-CN"/>
        </w:rPr>
      </w:pPr>
      <w:r>
        <w:rPr>
          <w:rFonts w:hint="eastAsia" w:hAnsi="黑体" w:eastAsia="黑体"/>
          <w:color w:val="000000"/>
          <w:sz w:val="32"/>
          <w:szCs w:val="32"/>
          <w:lang w:eastAsia="zh-CN"/>
        </w:rPr>
        <w:t>本单位</w:t>
      </w:r>
      <w:r>
        <w:rPr>
          <w:rFonts w:hint="eastAsia" w:hAnsi="黑体" w:eastAsia="黑体"/>
          <w:color w:val="000000"/>
          <w:sz w:val="32"/>
          <w:szCs w:val="32"/>
          <w:lang w:val="en-US" w:eastAsia="zh-CN"/>
        </w:rPr>
        <w:t>2021年</w:t>
      </w:r>
      <w:r>
        <w:rPr>
          <w:rFonts w:hint="eastAsia" w:hAnsi="黑体" w:eastAsia="黑体"/>
          <w:color w:val="000000"/>
          <w:sz w:val="32"/>
          <w:szCs w:val="32"/>
          <w:lang w:eastAsia="zh-CN"/>
        </w:rPr>
        <w:t>无</w:t>
      </w:r>
      <w:r>
        <w:rPr>
          <w:rFonts w:hint="eastAsia" w:hAnsi="黑体" w:eastAsia="黑体"/>
          <w:color w:val="000000"/>
          <w:sz w:val="32"/>
          <w:szCs w:val="32"/>
          <w:lang w:val="en-US" w:eastAsia="zh-CN"/>
        </w:rPr>
        <w:t>纳入专户管理的非税收入预算。</w:t>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60790" cy="2439035"/>
            <wp:effectExtent l="0" t="0" r="13335" b="5715"/>
            <wp:docPr id="26" name="图片 26" descr="1661264820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661264820196"/>
                    <pic:cNvPicPr>
                      <a:picLocks noChangeAspect="1"/>
                    </pic:cNvPicPr>
                  </pic:nvPicPr>
                  <pic:blipFill>
                    <a:blip r:embed="rId28"/>
                    <a:stretch>
                      <a:fillRect/>
                    </a:stretch>
                  </pic:blipFill>
                  <pic:spPr>
                    <a:xfrm>
                      <a:off x="0" y="0"/>
                      <a:ext cx="8860790" cy="2439035"/>
                    </a:xfrm>
                    <a:prstGeom prst="rect">
                      <a:avLst/>
                    </a:prstGeom>
                  </pic:spPr>
                </pic:pic>
              </a:graphicData>
            </a:graphic>
          </wp:inline>
        </w:drawing>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60155" cy="2261235"/>
            <wp:effectExtent l="0" t="0" r="13970" b="8890"/>
            <wp:docPr id="27" name="图片 27" descr="1661264898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661264898485"/>
                    <pic:cNvPicPr>
                      <a:picLocks noChangeAspect="1"/>
                    </pic:cNvPicPr>
                  </pic:nvPicPr>
                  <pic:blipFill>
                    <a:blip r:embed="rId29"/>
                    <a:stretch>
                      <a:fillRect/>
                    </a:stretch>
                  </pic:blipFill>
                  <pic:spPr>
                    <a:xfrm>
                      <a:off x="0" y="0"/>
                      <a:ext cx="8860155" cy="2261235"/>
                    </a:xfrm>
                    <a:prstGeom prst="rect">
                      <a:avLst/>
                    </a:prstGeom>
                  </pic:spPr>
                </pic:pic>
              </a:graphicData>
            </a:graphic>
          </wp:inline>
        </w:drawing>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60155" cy="4347210"/>
            <wp:effectExtent l="0" t="0" r="13970" b="2540"/>
            <wp:docPr id="28" name="图片 28" descr="166126494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661264940284"/>
                    <pic:cNvPicPr>
                      <a:picLocks noChangeAspect="1"/>
                    </pic:cNvPicPr>
                  </pic:nvPicPr>
                  <pic:blipFill>
                    <a:blip r:embed="rId30"/>
                    <a:stretch>
                      <a:fillRect/>
                    </a:stretch>
                  </pic:blipFill>
                  <pic:spPr>
                    <a:xfrm>
                      <a:off x="0" y="0"/>
                      <a:ext cx="8860155" cy="4347210"/>
                    </a:xfrm>
                    <a:prstGeom prst="rect">
                      <a:avLst/>
                    </a:prstGeom>
                  </pic:spPr>
                </pic:pic>
              </a:graphicData>
            </a:graphic>
          </wp:inline>
        </w:drawing>
      </w: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8853805" cy="2901950"/>
            <wp:effectExtent l="0" t="0" r="4445" b="3175"/>
            <wp:docPr id="29" name="图片 29" descr="166126497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1661264971134"/>
                    <pic:cNvPicPr>
                      <a:picLocks noChangeAspect="1"/>
                    </pic:cNvPicPr>
                  </pic:nvPicPr>
                  <pic:blipFill>
                    <a:blip r:embed="rId31"/>
                    <a:stretch>
                      <a:fillRect/>
                    </a:stretch>
                  </pic:blipFill>
                  <pic:spPr>
                    <a:xfrm>
                      <a:off x="0" y="0"/>
                      <a:ext cx="8853805" cy="2901950"/>
                    </a:xfrm>
                    <a:prstGeom prst="rect">
                      <a:avLst/>
                    </a:prstGeom>
                  </pic:spPr>
                </pic:pic>
              </a:graphicData>
            </a:graphic>
          </wp:inline>
        </w:drawing>
      </w:r>
    </w:p>
    <w:p>
      <w:pPr>
        <w:pStyle w:val="2"/>
        <w:rPr>
          <w:rFonts w:hint="eastAsia" w:hAnsi="黑体" w:eastAsia="黑体"/>
          <w:color w:val="000000"/>
          <w:sz w:val="32"/>
          <w:szCs w:val="32"/>
          <w:lang w:eastAsia="zh-CN"/>
        </w:rPr>
      </w:pPr>
    </w:p>
    <w:p>
      <w:pPr>
        <w:pStyle w:val="2"/>
        <w:rPr>
          <w:rFonts w:hint="default" w:hAnsi="黑体" w:eastAsia="黑体"/>
          <w:color w:val="000000"/>
          <w:sz w:val="32"/>
          <w:szCs w:val="32"/>
          <w:lang w:val="en-US" w:eastAsia="zh-CN"/>
        </w:rPr>
        <w:sectPr>
          <w:pgSz w:w="16838" w:h="11906" w:orient="landscape"/>
          <w:pgMar w:top="1800" w:right="1440" w:bottom="1800" w:left="1440" w:header="708" w:footer="708" w:gutter="0"/>
          <w:cols w:space="708" w:num="1"/>
          <w:docGrid w:linePitch="360" w:charSpace="0"/>
        </w:sectPr>
      </w:pPr>
      <w:r>
        <w:rPr>
          <w:rFonts w:hint="eastAsia" w:hAnsi="黑体" w:eastAsia="黑体"/>
          <w:color w:val="000000"/>
          <w:sz w:val="32"/>
          <w:szCs w:val="32"/>
          <w:lang w:eastAsia="zh-CN"/>
        </w:rPr>
        <w:t>本单位</w:t>
      </w:r>
      <w:r>
        <w:rPr>
          <w:rFonts w:hint="eastAsia" w:hAnsi="黑体" w:eastAsia="黑体"/>
          <w:color w:val="000000"/>
          <w:sz w:val="32"/>
          <w:szCs w:val="32"/>
          <w:lang w:val="en-US" w:eastAsia="zh-CN"/>
        </w:rPr>
        <w:t>2021年无一般公共预算“三公”经费预算。</w:t>
      </w:r>
    </w:p>
    <w:p>
      <w:pPr>
        <w:pStyle w:val="2"/>
        <w:rPr>
          <w:rFonts w:hint="eastAsia" w:hAnsi="黑体" w:eastAsia="黑体"/>
          <w:color w:val="000000"/>
          <w:sz w:val="32"/>
          <w:szCs w:val="32"/>
          <w:lang w:eastAsia="zh-CN"/>
        </w:rPr>
      </w:pPr>
      <w:r>
        <w:rPr>
          <w:rFonts w:hint="eastAsia" w:hAnsi="黑体" w:eastAsia="黑体"/>
          <w:color w:val="000000"/>
          <w:sz w:val="32"/>
          <w:szCs w:val="32"/>
          <w:lang w:eastAsia="zh-CN"/>
        </w:rPr>
        <w:drawing>
          <wp:inline distT="0" distB="0" distL="114300" distR="114300">
            <wp:extent cx="5171440" cy="9091295"/>
            <wp:effectExtent l="0" t="0" r="10160" b="14605"/>
            <wp:docPr id="30" name="图片 30" descr="16613061372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1661306137269(1)"/>
                    <pic:cNvPicPr>
                      <a:picLocks noChangeAspect="1"/>
                    </pic:cNvPicPr>
                  </pic:nvPicPr>
                  <pic:blipFill>
                    <a:blip r:embed="rId32"/>
                    <a:stretch>
                      <a:fillRect/>
                    </a:stretch>
                  </pic:blipFill>
                  <pic:spPr>
                    <a:xfrm>
                      <a:off x="0" y="0"/>
                      <a:ext cx="5171440" cy="9091295"/>
                    </a:xfrm>
                    <a:prstGeom prst="rect">
                      <a:avLst/>
                    </a:prstGeom>
                  </pic:spPr>
                </pic:pic>
              </a:graphicData>
            </a:graphic>
          </wp:inline>
        </w:drawing>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B1A5D"/>
    <w:multiLevelType w:val="singleLevel"/>
    <w:tmpl w:val="2ABB1A5D"/>
    <w:lvl w:ilvl="0" w:tentative="0">
      <w:start w:val="1"/>
      <w:numFmt w:val="chineseCounting"/>
      <w:suff w:val="nothing"/>
      <w:lvlText w:val="%1、"/>
      <w:lvlJc w:val="left"/>
      <w:rPr>
        <w:rFonts w:hint="eastAsia"/>
      </w:rPr>
    </w:lvl>
  </w:abstractNum>
  <w:abstractNum w:abstractNumId="1">
    <w:nsid w:val="5B1DF8C4"/>
    <w:multiLevelType w:val="singleLevel"/>
    <w:tmpl w:val="5B1DF8C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NGM1ZTcyNmNiYTEyYzI2MzkzMzBiZjcyMWIwYTcifQ=="/>
  </w:docVars>
  <w:rsids>
    <w:rsidRoot w:val="00D84058"/>
    <w:rsid w:val="000147FA"/>
    <w:rsid w:val="00215AA4"/>
    <w:rsid w:val="00323B43"/>
    <w:rsid w:val="00373B99"/>
    <w:rsid w:val="003D37D8"/>
    <w:rsid w:val="004358AB"/>
    <w:rsid w:val="005553BA"/>
    <w:rsid w:val="006464CA"/>
    <w:rsid w:val="0077734D"/>
    <w:rsid w:val="007D2DF0"/>
    <w:rsid w:val="008B7726"/>
    <w:rsid w:val="00B221AD"/>
    <w:rsid w:val="00CB1E75"/>
    <w:rsid w:val="00D84058"/>
    <w:rsid w:val="00E315E9"/>
    <w:rsid w:val="00EE5BD8"/>
    <w:rsid w:val="02F61D5C"/>
    <w:rsid w:val="03977E2B"/>
    <w:rsid w:val="03AF7558"/>
    <w:rsid w:val="03D472D2"/>
    <w:rsid w:val="043401FB"/>
    <w:rsid w:val="046766ED"/>
    <w:rsid w:val="050657E5"/>
    <w:rsid w:val="057A0C2D"/>
    <w:rsid w:val="06080F77"/>
    <w:rsid w:val="07740B27"/>
    <w:rsid w:val="0A7E6740"/>
    <w:rsid w:val="0A7F2413"/>
    <w:rsid w:val="0C72222E"/>
    <w:rsid w:val="0CD65E68"/>
    <w:rsid w:val="0DAC2A6F"/>
    <w:rsid w:val="0DBB23DE"/>
    <w:rsid w:val="0ECB6550"/>
    <w:rsid w:val="124D30D7"/>
    <w:rsid w:val="126D1E74"/>
    <w:rsid w:val="134A0B53"/>
    <w:rsid w:val="13AB6CAF"/>
    <w:rsid w:val="14AA0085"/>
    <w:rsid w:val="14DA5F7A"/>
    <w:rsid w:val="15350B13"/>
    <w:rsid w:val="15471EAC"/>
    <w:rsid w:val="16A91EF8"/>
    <w:rsid w:val="17504F14"/>
    <w:rsid w:val="19460A2F"/>
    <w:rsid w:val="19AD056A"/>
    <w:rsid w:val="1A1570D1"/>
    <w:rsid w:val="1B193BA2"/>
    <w:rsid w:val="1BAA01CF"/>
    <w:rsid w:val="1BBB6955"/>
    <w:rsid w:val="1C6F5E3D"/>
    <w:rsid w:val="1C787B9A"/>
    <w:rsid w:val="1DAB4CCB"/>
    <w:rsid w:val="1E316091"/>
    <w:rsid w:val="1F0A197B"/>
    <w:rsid w:val="1F667DEB"/>
    <w:rsid w:val="22981962"/>
    <w:rsid w:val="22E14B69"/>
    <w:rsid w:val="23B32608"/>
    <w:rsid w:val="254E5854"/>
    <w:rsid w:val="27561DB2"/>
    <w:rsid w:val="27F07987"/>
    <w:rsid w:val="28E55011"/>
    <w:rsid w:val="28F64270"/>
    <w:rsid w:val="2ACD57C6"/>
    <w:rsid w:val="2AE45091"/>
    <w:rsid w:val="2BB822ED"/>
    <w:rsid w:val="2BF832AE"/>
    <w:rsid w:val="2CBD6A38"/>
    <w:rsid w:val="2CDF0814"/>
    <w:rsid w:val="2CFC7029"/>
    <w:rsid w:val="2E814120"/>
    <w:rsid w:val="2F793AEC"/>
    <w:rsid w:val="30F108DF"/>
    <w:rsid w:val="32A54F86"/>
    <w:rsid w:val="332351D9"/>
    <w:rsid w:val="335D2557"/>
    <w:rsid w:val="33E32220"/>
    <w:rsid w:val="341B3FDD"/>
    <w:rsid w:val="34471E42"/>
    <w:rsid w:val="35305211"/>
    <w:rsid w:val="35602F50"/>
    <w:rsid w:val="35B41276"/>
    <w:rsid w:val="3643156F"/>
    <w:rsid w:val="3696355E"/>
    <w:rsid w:val="37543B31"/>
    <w:rsid w:val="394979EB"/>
    <w:rsid w:val="3A695C92"/>
    <w:rsid w:val="3AF47336"/>
    <w:rsid w:val="3BC07017"/>
    <w:rsid w:val="3C817C4E"/>
    <w:rsid w:val="3F197FA2"/>
    <w:rsid w:val="3F8871ED"/>
    <w:rsid w:val="3FD0373A"/>
    <w:rsid w:val="40EA5463"/>
    <w:rsid w:val="4165602A"/>
    <w:rsid w:val="450B19BF"/>
    <w:rsid w:val="454424FD"/>
    <w:rsid w:val="45AB57A1"/>
    <w:rsid w:val="45C756FF"/>
    <w:rsid w:val="45F13209"/>
    <w:rsid w:val="47451645"/>
    <w:rsid w:val="4851401A"/>
    <w:rsid w:val="49CD76D0"/>
    <w:rsid w:val="49DA04EA"/>
    <w:rsid w:val="4BB5041C"/>
    <w:rsid w:val="4C172162"/>
    <w:rsid w:val="4C2300C8"/>
    <w:rsid w:val="4C583963"/>
    <w:rsid w:val="4DE65AF2"/>
    <w:rsid w:val="4F2B1B4F"/>
    <w:rsid w:val="504D3DB0"/>
    <w:rsid w:val="511A45CC"/>
    <w:rsid w:val="520E6698"/>
    <w:rsid w:val="52FE6B4C"/>
    <w:rsid w:val="533A6020"/>
    <w:rsid w:val="550A0F34"/>
    <w:rsid w:val="55717AA9"/>
    <w:rsid w:val="56B13D58"/>
    <w:rsid w:val="57961A49"/>
    <w:rsid w:val="57A203EE"/>
    <w:rsid w:val="57CE008E"/>
    <w:rsid w:val="5AE830F5"/>
    <w:rsid w:val="5AEE325E"/>
    <w:rsid w:val="5B5639C9"/>
    <w:rsid w:val="5BCA5BFB"/>
    <w:rsid w:val="5BFD5AF3"/>
    <w:rsid w:val="5C3D06E5"/>
    <w:rsid w:val="5C983B6D"/>
    <w:rsid w:val="5EB904CA"/>
    <w:rsid w:val="5EBA601D"/>
    <w:rsid w:val="5F5F0972"/>
    <w:rsid w:val="60193217"/>
    <w:rsid w:val="61AE0E61"/>
    <w:rsid w:val="62A726E9"/>
    <w:rsid w:val="6340786D"/>
    <w:rsid w:val="66650F64"/>
    <w:rsid w:val="667E3408"/>
    <w:rsid w:val="66DB68D5"/>
    <w:rsid w:val="674D36B8"/>
    <w:rsid w:val="68A11FFC"/>
    <w:rsid w:val="6A4E66CF"/>
    <w:rsid w:val="6A681BC4"/>
    <w:rsid w:val="6AF84C0F"/>
    <w:rsid w:val="6C6F580F"/>
    <w:rsid w:val="6CFF5543"/>
    <w:rsid w:val="6D0D74B0"/>
    <w:rsid w:val="6D75347C"/>
    <w:rsid w:val="6E184D4D"/>
    <w:rsid w:val="6FAA7ECF"/>
    <w:rsid w:val="70415F80"/>
    <w:rsid w:val="71034C0B"/>
    <w:rsid w:val="71427BD2"/>
    <w:rsid w:val="73B63B77"/>
    <w:rsid w:val="73E52655"/>
    <w:rsid w:val="74211795"/>
    <w:rsid w:val="778D54E1"/>
    <w:rsid w:val="78385A8E"/>
    <w:rsid w:val="789F4CF7"/>
    <w:rsid w:val="78FF0E98"/>
    <w:rsid w:val="79EC27F2"/>
    <w:rsid w:val="7A0D012C"/>
    <w:rsid w:val="7BB03187"/>
    <w:rsid w:val="7BF037C0"/>
    <w:rsid w:val="7C0050A2"/>
    <w:rsid w:val="7C4510C2"/>
    <w:rsid w:val="7C8B0981"/>
    <w:rsid w:val="7CE92D02"/>
    <w:rsid w:val="7D6D6C39"/>
    <w:rsid w:val="7EAF50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2686</Words>
  <Characters>2895</Characters>
  <Lines>30</Lines>
  <Paragraphs>8</Paragraphs>
  <TotalTime>16</TotalTime>
  <ScaleCrop>false</ScaleCrop>
  <LinksUpToDate>false</LinksUpToDate>
  <CharactersWithSpaces>2929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cp:lastModifiedBy>
  <dcterms:modified xsi:type="dcterms:W3CDTF">2022-09-13T07:03:01Z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DA9B651D90AF426EA414B8758274A932</vt:lpwstr>
  </property>
</Properties>
</file>