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醴陵市征地工作协调服务中心</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贯彻执行上级有关征地拆迁和房屋征收的方针政策和法律法规，为征地拆迁和房屋征收提供服务保障；2、负责全市征地拆迁工作中的全局性、长期性问题的跟踪研究，为市委市政府提供政策性建议和咨询意见；3、负责醴陵市征地拆迁和房屋征收工作领导小组的事务性工作，负责全市征地拆迁及安置的组织协调、调度督导的相关服务工作，负责全市征拆工作绩效评估的相关事务性工作；4、为全市征地拆迁和房屋征收政策平衡、编制资金概算等提供政策咨询，参与征拆工作中个案处理、验收交地等相关工作；5、负责全市征地拆迁相关资金的经办服务工作；6、负责征地拆迁的宣传推广工作，开展相关培训教育活动；7、承担市委、市人民政府交办的其他工作。</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11</w:t>
      </w:r>
      <w:r>
        <w:rPr>
          <w:rFonts w:eastAsia="仿宋_GB2312"/>
          <w:color w:val="000000"/>
          <w:sz w:val="32"/>
          <w:szCs w:val="32"/>
        </w:rPr>
        <w:t>人，实有人数</w:t>
      </w:r>
      <w:r>
        <w:rPr>
          <w:rFonts w:hint="eastAsia" w:eastAsia="仿宋_GB2312"/>
          <w:color w:val="000000"/>
          <w:sz w:val="32"/>
          <w:szCs w:val="32"/>
        </w:rPr>
        <w:t>14</w:t>
      </w:r>
      <w:r>
        <w:rPr>
          <w:rFonts w:eastAsia="仿宋_GB2312"/>
          <w:color w:val="000000"/>
          <w:sz w:val="32"/>
          <w:szCs w:val="32"/>
        </w:rPr>
        <w:t>人。内设股室</w:t>
      </w:r>
      <w:r>
        <w:rPr>
          <w:rFonts w:hint="eastAsia" w:eastAsia="仿宋_GB2312"/>
          <w:color w:val="000000"/>
          <w:sz w:val="32"/>
          <w:szCs w:val="32"/>
        </w:rPr>
        <w:t>5</w:t>
      </w:r>
      <w:r>
        <w:rPr>
          <w:rFonts w:eastAsia="仿宋_GB2312"/>
          <w:color w:val="000000"/>
          <w:sz w:val="32"/>
          <w:szCs w:val="32"/>
        </w:rPr>
        <w:t>个（含</w:t>
      </w:r>
      <w:r>
        <w:rPr>
          <w:rFonts w:hint="eastAsia" w:eastAsia="仿宋_GB2312"/>
          <w:color w:val="000000"/>
          <w:sz w:val="32"/>
          <w:szCs w:val="32"/>
        </w:rPr>
        <w:t>0</w:t>
      </w:r>
      <w:r>
        <w:rPr>
          <w:rFonts w:eastAsia="仿宋_GB2312"/>
          <w:color w:val="000000"/>
          <w:sz w:val="32"/>
          <w:szCs w:val="32"/>
        </w:rPr>
        <w:t>个正科级单位），分别为：</w:t>
      </w:r>
      <w:r>
        <w:rPr>
          <w:rFonts w:hint="eastAsia" w:eastAsia="仿宋_GB2312"/>
          <w:color w:val="000000"/>
          <w:sz w:val="32"/>
          <w:szCs w:val="32"/>
        </w:rPr>
        <w:t>协调股、综合股、财务股、法务股、计统股。</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本单位，</w:t>
      </w:r>
      <w:r>
        <w:rPr>
          <w:rFonts w:eastAsia="仿宋_GB2312"/>
          <w:color w:val="000000"/>
          <w:sz w:val="32"/>
          <w:szCs w:val="32"/>
        </w:rPr>
        <w:t>无下属二级预算单位。收入包括一般公共预算收入；支出包括保障</w:t>
      </w:r>
      <w:r>
        <w:rPr>
          <w:rFonts w:hint="eastAsia" w:eastAsia="仿宋_GB2312"/>
          <w:color w:val="000000"/>
          <w:sz w:val="32"/>
          <w:szCs w:val="32"/>
        </w:rPr>
        <w:t>单位</w:t>
      </w:r>
      <w:r>
        <w:rPr>
          <w:rFonts w:eastAsia="仿宋_GB2312"/>
          <w:color w:val="000000"/>
          <w:sz w:val="32"/>
          <w:szCs w:val="32"/>
        </w:rPr>
        <w:t>基本运行的经费。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90.95</w:t>
      </w:r>
      <w:r>
        <w:rPr>
          <w:rFonts w:eastAsia="仿宋_GB2312"/>
          <w:color w:val="000000"/>
          <w:sz w:val="32"/>
          <w:szCs w:val="32"/>
        </w:rPr>
        <w:t>万元，其中，一般公共预算拨款</w:t>
      </w:r>
      <w:r>
        <w:rPr>
          <w:rFonts w:hint="eastAsia" w:eastAsia="仿宋_GB2312"/>
          <w:color w:val="000000"/>
          <w:sz w:val="32"/>
          <w:szCs w:val="32"/>
        </w:rPr>
        <w:t>90.95</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90.95</w:t>
      </w:r>
      <w:r>
        <w:rPr>
          <w:rFonts w:eastAsia="仿宋_GB2312"/>
          <w:color w:val="000000"/>
          <w:sz w:val="32"/>
          <w:szCs w:val="32"/>
        </w:rPr>
        <w:t>万元，其中，一般公共服务支出</w:t>
      </w:r>
      <w:r>
        <w:rPr>
          <w:rFonts w:hint="eastAsia" w:eastAsia="仿宋_GB2312"/>
          <w:color w:val="000000"/>
          <w:sz w:val="32"/>
          <w:szCs w:val="32"/>
        </w:rPr>
        <w:t>87.03</w:t>
      </w:r>
      <w:r>
        <w:rPr>
          <w:rFonts w:eastAsia="仿宋_GB2312"/>
          <w:color w:val="000000"/>
          <w:sz w:val="32"/>
          <w:szCs w:val="32"/>
        </w:rPr>
        <w:t>万元</w:t>
      </w:r>
      <w:r>
        <w:rPr>
          <w:rFonts w:hint="eastAsia" w:eastAsia="仿宋_GB2312"/>
          <w:color w:val="000000"/>
          <w:sz w:val="32"/>
          <w:szCs w:val="32"/>
        </w:rPr>
        <w:t>；卫生健康支出3.92万元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90.95</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r>
        <w:rPr>
          <w:rFonts w:hint="eastAsia" w:eastAsia="仿宋_GB2312"/>
          <w:color w:val="000000"/>
          <w:sz w:val="32"/>
          <w:szCs w:val="32"/>
        </w:rPr>
        <w:t>本单位无项目支出。</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90.95</w:t>
      </w:r>
      <w:r>
        <w:rPr>
          <w:rFonts w:eastAsia="仿宋_GB2312"/>
          <w:color w:val="000000"/>
          <w:sz w:val="32"/>
          <w:szCs w:val="32"/>
        </w:rPr>
        <w:t>万元，比上年增加</w:t>
      </w:r>
      <w:r>
        <w:rPr>
          <w:rFonts w:hint="eastAsia" w:eastAsia="仿宋_GB2312"/>
          <w:color w:val="000000"/>
          <w:sz w:val="32"/>
          <w:szCs w:val="32"/>
        </w:rPr>
        <w:t>2.79</w:t>
      </w:r>
      <w:r>
        <w:rPr>
          <w:rFonts w:eastAsia="仿宋_GB2312"/>
          <w:color w:val="000000"/>
          <w:sz w:val="32"/>
          <w:szCs w:val="32"/>
        </w:rPr>
        <w:t>万元，主要原因是</w:t>
      </w:r>
      <w:r>
        <w:rPr>
          <w:rFonts w:hint="eastAsia" w:eastAsia="仿宋_GB2312"/>
          <w:color w:val="000000"/>
          <w:sz w:val="32"/>
          <w:szCs w:val="32"/>
        </w:rPr>
        <w:t>三人转正，造成基本工资和津补贴上涨，以及工会经费和福利费的增加。</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7.72</w:t>
      </w:r>
      <w:r>
        <w:rPr>
          <w:rFonts w:eastAsia="仿宋_GB2312"/>
          <w:color w:val="000000"/>
          <w:sz w:val="32"/>
          <w:szCs w:val="32"/>
        </w:rPr>
        <w:t>万元，比上年度预算增加</w:t>
      </w:r>
      <w:r>
        <w:rPr>
          <w:rFonts w:hint="eastAsia" w:eastAsia="仿宋_GB2312"/>
          <w:color w:val="000000"/>
          <w:sz w:val="32"/>
          <w:szCs w:val="32"/>
        </w:rPr>
        <w:t>1.01</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工会经费指标增加0.09万元和福利费指标增加0.92万元。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themeColor="text1"/>
          <w:sz w:val="32"/>
          <w:szCs w:val="32"/>
        </w:rPr>
        <w:t>3.3</w:t>
      </w:r>
      <w:r>
        <w:rPr>
          <w:rFonts w:eastAsia="仿宋_GB2312"/>
          <w:color w:val="000000"/>
          <w:sz w:val="32"/>
          <w:szCs w:val="32"/>
        </w:rPr>
        <w:t>万元</w:t>
      </w:r>
      <w:r>
        <w:rPr>
          <w:rFonts w:hint="eastAsia" w:eastAsia="仿宋_GB2312"/>
          <w:color w:val="000000"/>
          <w:sz w:val="32"/>
          <w:szCs w:val="32"/>
        </w:rPr>
        <w:t>，比上年度预算增加2.1万元</w:t>
      </w:r>
      <w:r>
        <w:rPr>
          <w:rFonts w:eastAsia="仿宋_GB2312"/>
          <w:color w:val="000000"/>
          <w:sz w:val="32"/>
          <w:szCs w:val="32"/>
        </w:rPr>
        <w:t>。</w:t>
      </w:r>
      <w:r>
        <w:rPr>
          <w:rFonts w:hint="eastAsia" w:eastAsia="仿宋_GB2312"/>
          <w:color w:val="000000"/>
          <w:sz w:val="32"/>
          <w:szCs w:val="32"/>
        </w:rPr>
        <w:t>增加的主要原因是采购办公用品3.3万元、</w:t>
      </w:r>
      <w:r>
        <w:rPr>
          <w:rFonts w:hint="eastAsia" w:eastAsia="仿宋_GB2312"/>
          <w:kern w:val="0"/>
          <w:sz w:val="32"/>
          <w:szCs w:val="32"/>
        </w:rPr>
        <w:t>大院维修、绿化服务0万元、购买物业管理服务0万元</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1200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90.95</w:t>
      </w:r>
      <w:r>
        <w:rPr>
          <w:rFonts w:eastAsia="仿宋_GB2312"/>
          <w:color w:val="000000"/>
          <w:sz w:val="32"/>
          <w:szCs w:val="32"/>
        </w:rPr>
        <w:t>万元，其中，基本支出</w:t>
      </w:r>
      <w:r>
        <w:rPr>
          <w:rFonts w:hint="eastAsia" w:eastAsia="仿宋_GB2312"/>
          <w:color w:val="000000"/>
          <w:sz w:val="32"/>
          <w:szCs w:val="32"/>
        </w:rPr>
        <w:t>90.95</w:t>
      </w:r>
      <w:r>
        <w:rPr>
          <w:rFonts w:eastAsia="仿宋_GB2312"/>
          <w:color w:val="000000"/>
          <w:sz w:val="32"/>
          <w:szCs w:val="32"/>
        </w:rPr>
        <w:t>万元，项目支出</w:t>
      </w:r>
      <w:r>
        <w:rPr>
          <w:rFonts w:hint="eastAsia" w:eastAsia="仿宋_GB2312"/>
          <w:color w:val="000000"/>
          <w:sz w:val="32"/>
          <w:szCs w:val="32"/>
        </w:rPr>
        <w:t>0</w:t>
      </w:r>
      <w:r>
        <w:rPr>
          <w:rFonts w:eastAsia="仿宋_GB2312"/>
          <w:color w:val="000000"/>
          <w:sz w:val="32"/>
          <w:szCs w:val="32"/>
        </w:rPr>
        <w:t>万元。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本单位无公共财政拨款三公经费预算，所有“三公”经费均为自有资金安排。</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1"/>
        </w:num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基本-对个人和家庭的补助（部门）；</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基本-对个人和家庭的补助（政府）；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一般公共预算基本支出预算-对个人和家庭的补助；</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一般公共预算基本支出预算-对个人和家庭的补助（政府）；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政府性基金预算支出（部门）；</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政府性基金预算支出（政府）；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纳入专户管理的非税收入拨款部门支出（部门）；</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纳入专户管理的非税收入拨款部门支出（政府）；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一般公共预算-经费拨款（部门）；</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一般公共预算-经费拨款（政府）；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专项支出预算；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一般公共预算“三公”经费预算。</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76A81E"/>
    <w:multiLevelType w:val="singleLevel"/>
    <w:tmpl w:val="8E76A81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84058"/>
    <w:rsid w:val="00323B43"/>
    <w:rsid w:val="003D37D8"/>
    <w:rsid w:val="004358AB"/>
    <w:rsid w:val="005553BA"/>
    <w:rsid w:val="006464CA"/>
    <w:rsid w:val="0077734D"/>
    <w:rsid w:val="007D19D0"/>
    <w:rsid w:val="008B7726"/>
    <w:rsid w:val="00B175EC"/>
    <w:rsid w:val="00B221AD"/>
    <w:rsid w:val="00CB1E75"/>
    <w:rsid w:val="00D55906"/>
    <w:rsid w:val="00D84058"/>
    <w:rsid w:val="00E315E9"/>
    <w:rsid w:val="12E24918"/>
    <w:rsid w:val="141A4E08"/>
    <w:rsid w:val="314A299F"/>
    <w:rsid w:val="42410320"/>
    <w:rsid w:val="564B1EB3"/>
    <w:rsid w:val="63A21500"/>
    <w:rsid w:val="741F1C6A"/>
    <w:rsid w:val="78E50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Pages>
  <Words>485</Words>
  <Characters>2765</Characters>
  <Lines>23</Lines>
  <Paragraphs>6</Paragraphs>
  <TotalTime>85</TotalTime>
  <ScaleCrop>false</ScaleCrop>
  <LinksUpToDate>false</LinksUpToDate>
  <CharactersWithSpaces>3244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2022-09-12T12:48:05Z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