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醴陵市预防腐败警示教育中心</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rPr>
          <w:rFonts w:hint="eastAsia" w:hAnsi="黑体" w:eastAsia="黑体"/>
          <w:sz w:val="32"/>
          <w:szCs w:val="32"/>
        </w:rPr>
      </w:pPr>
    </w:p>
    <w:p>
      <w:pPr>
        <w:tabs>
          <w:tab w:val="left" w:pos="7560"/>
        </w:tabs>
        <w:adjustRightInd w:val="0"/>
        <w:snapToGrid w:val="0"/>
        <w:spacing w:line="560" w:lineRule="exact"/>
        <w:ind w:firstLine="640" w:firstLineChars="200"/>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醴陵市预防腐败警示教育中心负责对全市党员和国家公职人员进行预防腐败警示教育；负责谈话室的日常管理、同步录音录像及安全管理工作，为纪委监委执纪审查工作提供后勤保障和技术保障；承办市纪委、监委交办的其他工作。</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bCs/>
          <w:color w:val="000000"/>
          <w:sz w:val="32"/>
          <w:szCs w:val="32"/>
        </w:rPr>
        <w:t> </w:t>
      </w:r>
      <w:r>
        <w:rPr>
          <w:rFonts w:eastAsia="仿宋_GB2312"/>
          <w:color w:val="000000"/>
          <w:sz w:val="32"/>
          <w:szCs w:val="32"/>
        </w:rPr>
        <w:t>本部门共有编制人数</w:t>
      </w:r>
      <w:r>
        <w:rPr>
          <w:rFonts w:hint="eastAsia" w:eastAsia="仿宋_GB2312"/>
          <w:color w:val="000000"/>
          <w:sz w:val="32"/>
          <w:szCs w:val="32"/>
        </w:rPr>
        <w:t>7</w:t>
      </w:r>
      <w:r>
        <w:rPr>
          <w:rFonts w:eastAsia="仿宋_GB2312"/>
          <w:color w:val="000000"/>
          <w:sz w:val="32"/>
          <w:szCs w:val="32"/>
        </w:rPr>
        <w:t>人，实有人数</w:t>
      </w:r>
      <w:r>
        <w:rPr>
          <w:rFonts w:hint="eastAsia" w:eastAsia="仿宋_GB2312"/>
          <w:color w:val="000000"/>
          <w:sz w:val="32"/>
          <w:szCs w:val="32"/>
        </w:rPr>
        <w:t>6</w:t>
      </w:r>
      <w:r>
        <w:rPr>
          <w:rFonts w:eastAsia="仿宋_GB2312"/>
          <w:color w:val="000000"/>
          <w:sz w:val="32"/>
          <w:szCs w:val="32"/>
        </w:rPr>
        <w:t>人。</w:t>
      </w:r>
      <w:r>
        <w:rPr>
          <w:rFonts w:hint="eastAsia" w:eastAsia="仿宋_GB2312"/>
          <w:color w:val="000000"/>
          <w:sz w:val="32"/>
          <w:szCs w:val="32"/>
        </w:rPr>
        <w:t>本单位无内设股室，无下属预算单位。</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2021年部门预算编报范围</w:t>
      </w:r>
      <w:r>
        <w:rPr>
          <w:rFonts w:hint="eastAsia" w:eastAsia="仿宋_GB2312"/>
          <w:color w:val="000000"/>
          <w:sz w:val="32"/>
          <w:szCs w:val="32"/>
        </w:rPr>
        <w:t>包括预防腐败警示教育中心。收入既包括公共预算和政府性基金收入，又包括事业单位经营服务等收入；支出既包括保障中心及直属单位基本运行的经费，也包括专案办案等专项经费。</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 xml:space="preserve"> 2021</w:t>
      </w:r>
      <w:r>
        <w:rPr>
          <w:rFonts w:eastAsia="仿宋_GB2312"/>
          <w:color w:val="000000"/>
          <w:sz w:val="32"/>
          <w:szCs w:val="32"/>
        </w:rPr>
        <w:t>年年初预算数</w:t>
      </w:r>
      <w:r>
        <w:rPr>
          <w:rFonts w:hint="eastAsia" w:eastAsia="仿宋_GB2312"/>
          <w:color w:val="000000"/>
          <w:sz w:val="32"/>
          <w:szCs w:val="32"/>
        </w:rPr>
        <w:t>1350.58</w:t>
      </w:r>
      <w:r>
        <w:rPr>
          <w:rFonts w:eastAsia="仿宋_GB2312"/>
          <w:color w:val="000000"/>
          <w:sz w:val="32"/>
          <w:szCs w:val="32"/>
        </w:rPr>
        <w:t>万元，其中，一般公共预算拨款</w:t>
      </w:r>
      <w:r>
        <w:rPr>
          <w:rFonts w:hint="eastAsia" w:eastAsia="仿宋_GB2312"/>
          <w:color w:val="000000"/>
          <w:sz w:val="32"/>
          <w:szCs w:val="32"/>
        </w:rPr>
        <w:t>1350.58</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1350.58</w:t>
      </w:r>
      <w:r>
        <w:rPr>
          <w:rFonts w:eastAsia="仿宋_GB2312"/>
          <w:color w:val="000000"/>
          <w:sz w:val="32"/>
          <w:szCs w:val="32"/>
        </w:rPr>
        <w:t>万元，其中，一般公共服务支出</w:t>
      </w:r>
      <w:r>
        <w:rPr>
          <w:rFonts w:hint="eastAsia" w:eastAsia="仿宋_GB2312"/>
          <w:color w:val="000000"/>
          <w:sz w:val="32"/>
          <w:szCs w:val="32"/>
        </w:rPr>
        <w:t>1348.44</w:t>
      </w:r>
      <w:r>
        <w:rPr>
          <w:rFonts w:eastAsia="仿宋_GB2312"/>
          <w:color w:val="000000"/>
          <w:sz w:val="32"/>
          <w:szCs w:val="32"/>
        </w:rPr>
        <w:t>万元，</w:t>
      </w:r>
      <w:r>
        <w:rPr>
          <w:rFonts w:hint="eastAsia" w:eastAsia="仿宋_GB2312"/>
          <w:color w:val="000000"/>
          <w:sz w:val="32"/>
          <w:szCs w:val="32"/>
        </w:rPr>
        <w:t>卫生健康支出2.14</w:t>
      </w:r>
      <w:r>
        <w:rPr>
          <w:rFonts w:eastAsia="仿宋_GB2312"/>
          <w:color w:val="000000"/>
          <w:sz w:val="32"/>
          <w:szCs w:val="32"/>
        </w:rPr>
        <w:t>万元。</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rPr>
          <w:rFonts w:hint="default" w:eastAsia="仿宋_GB2312"/>
          <w:color w:val="000000"/>
          <w:sz w:val="32"/>
          <w:szCs w:val="32"/>
          <w:lang w:val="en-US" w:eastAsia="zh-CN"/>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48.08</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r>
        <w:rPr>
          <w:rFonts w:hint="eastAsia" w:eastAsia="仿宋_GB2312"/>
          <w:color w:val="000000"/>
          <w:sz w:val="32"/>
          <w:szCs w:val="32"/>
          <w:lang w:val="en-US" w:eastAsia="zh-CN"/>
        </w:rPr>
        <w:t>具体包括：工资福利支出43.98万元、一般商品和服务支出4.1万元。</w:t>
      </w:r>
    </w:p>
    <w:p>
      <w:pPr>
        <w:tabs>
          <w:tab w:val="left" w:pos="7560"/>
        </w:tabs>
        <w:adjustRightInd w:val="0"/>
        <w:snapToGrid w:val="0"/>
        <w:spacing w:line="560" w:lineRule="exact"/>
        <w:ind w:firstLine="643" w:firstLineChars="200"/>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1302.5</w:t>
      </w:r>
      <w:r>
        <w:rPr>
          <w:rFonts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滴水井办案中心运行专项经费1302.5</w:t>
      </w:r>
      <w:r>
        <w:rPr>
          <w:rFonts w:eastAsia="仿宋_GB2312"/>
          <w:color w:val="000000"/>
          <w:sz w:val="32"/>
          <w:szCs w:val="32"/>
        </w:rPr>
        <w:t>万元。主要用于</w:t>
      </w:r>
      <w:r>
        <w:rPr>
          <w:rFonts w:hint="eastAsia" w:eastAsia="仿宋_GB2312"/>
          <w:color w:val="000000"/>
          <w:sz w:val="32"/>
          <w:szCs w:val="32"/>
        </w:rPr>
        <w:t>滴水井办案中心日常运行维护的相关支出，及市纪委专案办案保障。</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1350.58</w:t>
      </w:r>
      <w:r>
        <w:rPr>
          <w:rFonts w:eastAsia="仿宋_GB2312"/>
          <w:color w:val="000000"/>
          <w:sz w:val="32"/>
          <w:szCs w:val="32"/>
        </w:rPr>
        <w:t>万元，比上年增加</w:t>
      </w:r>
      <w:r>
        <w:rPr>
          <w:rFonts w:hint="eastAsia" w:eastAsia="仿宋_GB2312"/>
          <w:color w:val="000000"/>
          <w:sz w:val="32"/>
          <w:szCs w:val="32"/>
        </w:rPr>
        <w:t>16.41</w:t>
      </w:r>
      <w:r>
        <w:rPr>
          <w:rFonts w:eastAsia="仿宋_GB2312"/>
          <w:color w:val="000000"/>
          <w:sz w:val="32"/>
          <w:szCs w:val="32"/>
        </w:rPr>
        <w:t>万元，主要原因是因人员增加，造成人员经费和运转经费上涨</w:t>
      </w:r>
      <w:r>
        <w:rPr>
          <w:rFonts w:hint="eastAsia" w:eastAsia="仿宋_GB2312"/>
          <w:color w:val="000000"/>
          <w:sz w:val="32"/>
          <w:szCs w:val="32"/>
        </w:rPr>
        <w:t>及市纪委专案办案工作增加。</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lang w:val="en-US" w:eastAsia="zh-CN"/>
        </w:rPr>
        <w:t>4.1</w:t>
      </w:r>
      <w:r>
        <w:rPr>
          <w:rFonts w:hint="eastAsia" w:eastAsia="仿宋_GB2312"/>
          <w:color w:val="000000"/>
          <w:sz w:val="32"/>
          <w:szCs w:val="32"/>
        </w:rPr>
        <w:t>万元，与上年持平。</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127.48万元。包括：政府采购货物32.28万元，政府采购服务</w:t>
      </w:r>
      <w:r>
        <w:rPr>
          <w:rFonts w:hint="eastAsia" w:eastAsia="仿宋_GB2312"/>
          <w:color w:val="000000"/>
          <w:sz w:val="32"/>
          <w:szCs w:val="32"/>
          <w:lang w:val="en-US" w:eastAsia="zh-CN"/>
        </w:rPr>
        <w:t>95.2</w:t>
      </w:r>
      <w:r>
        <w:rPr>
          <w:rFonts w:hint="eastAsia" w:eastAsia="仿宋_GB2312"/>
          <w:color w:val="000000"/>
          <w:sz w:val="32"/>
          <w:szCs w:val="32"/>
        </w:rPr>
        <w:t>万元</w:t>
      </w:r>
      <w:r>
        <w:rPr>
          <w:rFonts w:hint="eastAsia" w:eastAsia="仿宋_GB2312"/>
          <w:color w:val="000000"/>
          <w:sz w:val="32"/>
          <w:szCs w:val="32"/>
          <w:lang w:eastAsia="zh-CN"/>
        </w:rPr>
        <w:t>，</w:t>
      </w:r>
      <w:r>
        <w:rPr>
          <w:rFonts w:hint="eastAsia" w:eastAsia="仿宋_GB2312"/>
          <w:color w:val="000000"/>
          <w:sz w:val="32"/>
          <w:szCs w:val="32"/>
        </w:rPr>
        <w:t>政府采购</w:t>
      </w:r>
      <w:r>
        <w:rPr>
          <w:rFonts w:hint="eastAsia" w:eastAsia="仿宋_GB2312"/>
          <w:color w:val="000000"/>
          <w:sz w:val="32"/>
          <w:szCs w:val="32"/>
          <w:lang w:eastAsia="zh-CN"/>
        </w:rPr>
        <w:t>工程</w:t>
      </w:r>
      <w:r>
        <w:rPr>
          <w:rFonts w:hint="eastAsia" w:eastAsia="仿宋_GB2312"/>
          <w:color w:val="000000"/>
          <w:sz w:val="32"/>
          <w:szCs w:val="32"/>
          <w:lang w:val="en-US" w:eastAsia="zh-CN"/>
        </w:rPr>
        <w:t>0万元</w:t>
      </w:r>
      <w:r>
        <w:rPr>
          <w:rFonts w:eastAsia="仿宋_GB2312"/>
          <w:color w:val="000000"/>
          <w:sz w:val="32"/>
          <w:szCs w:val="32"/>
        </w:rPr>
        <w:t>。</w:t>
      </w:r>
      <w:bookmarkStart w:id="0" w:name="_GoBack"/>
      <w:bookmarkEnd w:id="0"/>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w:t>
      </w:r>
      <w:r>
        <w:rPr>
          <w:rFonts w:hint="eastAsia" w:eastAsia="仿宋_GB2312"/>
          <w:color w:val="000000"/>
          <w:sz w:val="32"/>
          <w:szCs w:val="32"/>
        </w:rPr>
        <w:t>本部门共有办公及业务用房2400平方米（租用）；车辆0辆，其中一般公务用车0辆；单位价值200万以上大型设备0套。2020年部门预算安排购置车辆0辆，预算安排购置价值200万以上大型设备0套。</w:t>
      </w:r>
      <w:r>
        <w:rPr>
          <w:rFonts w:eastAsia="仿宋_GB2312"/>
          <w:color w:val="000000"/>
          <w:sz w:val="32"/>
          <w:szCs w:val="32"/>
        </w:rPr>
        <w:t>。</w:t>
      </w:r>
    </w:p>
    <w:p>
      <w:pPr>
        <w:tabs>
          <w:tab w:val="left" w:pos="7560"/>
        </w:tabs>
        <w:adjustRightInd w:val="0"/>
        <w:snapToGrid w:val="0"/>
        <w:spacing w:line="560" w:lineRule="exact"/>
        <w:ind w:firstLine="640" w:firstLineChars="200"/>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eastAsia="仿宋_GB2312"/>
          <w:color w:val="000000"/>
          <w:sz w:val="32"/>
          <w:szCs w:val="32"/>
          <w:highlight w:val="none"/>
        </w:rPr>
        <w:t xml:space="preserve"> </w:t>
      </w:r>
      <w:r>
        <w:rPr>
          <w:rFonts w:hint="eastAsia" w:eastAsia="仿宋_GB2312"/>
          <w:color w:val="000000"/>
          <w:sz w:val="32"/>
          <w:szCs w:val="32"/>
          <w:highlight w:val="none"/>
        </w:rPr>
        <w:t>1302.5</w:t>
      </w:r>
      <w:r>
        <w:rPr>
          <w:rFonts w:eastAsia="仿宋_GB2312"/>
          <w:color w:val="000000"/>
          <w:sz w:val="32"/>
          <w:szCs w:val="32"/>
        </w:rPr>
        <w:t>万元，其中，</w:t>
      </w:r>
      <w:r>
        <w:rPr>
          <w:rFonts w:hint="eastAsia" w:eastAsia="仿宋_GB2312"/>
          <w:color w:val="000000"/>
          <w:sz w:val="32"/>
          <w:szCs w:val="32"/>
          <w:lang w:eastAsia="zh-CN"/>
        </w:rPr>
        <w:t>基本支出</w:t>
      </w:r>
      <w:r>
        <w:rPr>
          <w:rFonts w:hint="eastAsia" w:eastAsia="仿宋_GB2312"/>
          <w:color w:val="000000"/>
          <w:sz w:val="32"/>
          <w:szCs w:val="32"/>
          <w:lang w:val="en-US" w:eastAsia="zh-CN"/>
        </w:rPr>
        <w:t>0万元，</w:t>
      </w:r>
      <w:r>
        <w:rPr>
          <w:rFonts w:eastAsia="仿宋_GB2312"/>
          <w:color w:val="000000"/>
          <w:sz w:val="32"/>
          <w:szCs w:val="32"/>
        </w:rPr>
        <w:t>项目支出</w:t>
      </w:r>
      <w:r>
        <w:rPr>
          <w:rFonts w:hint="eastAsia" w:eastAsia="仿宋_GB2312"/>
          <w:color w:val="000000"/>
          <w:sz w:val="32"/>
          <w:szCs w:val="32"/>
        </w:rPr>
        <w:t>1302.5</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w:t>
      </w:r>
      <w:r>
        <w:rPr>
          <w:rFonts w:hint="eastAsia" w:eastAsia="仿宋_GB2312"/>
          <w:color w:val="000000"/>
          <w:sz w:val="32"/>
          <w:szCs w:val="32"/>
        </w:rPr>
        <w:t>“三公”经费预算数0万元，其中：公务接待费0万元、公务用车购置及运行费0万元、因公出国（境）费0万元。2020年公务用车购置数0</w:t>
      </w:r>
      <w:r>
        <w:rPr>
          <w:rFonts w:hint="eastAsia" w:eastAsia="仿宋_GB2312"/>
          <w:color w:val="000000"/>
          <w:sz w:val="32"/>
          <w:szCs w:val="32"/>
          <w:lang w:eastAsia="zh-CN"/>
        </w:rPr>
        <w:t>辆、保有量</w:t>
      </w:r>
      <w:r>
        <w:rPr>
          <w:rFonts w:hint="eastAsia" w:eastAsia="仿宋_GB2312"/>
          <w:color w:val="000000"/>
          <w:sz w:val="32"/>
          <w:szCs w:val="32"/>
          <w:lang w:val="en-US" w:eastAsia="zh-CN"/>
        </w:rPr>
        <w:t>0辆</w:t>
      </w:r>
      <w:r>
        <w:rPr>
          <w:rFonts w:hint="eastAsia" w:eastAsia="仿宋_GB2312"/>
          <w:color w:val="000000"/>
          <w:sz w:val="32"/>
          <w:szCs w:val="32"/>
        </w:rPr>
        <w:t>。</w:t>
      </w:r>
    </w:p>
    <w:p>
      <w:pPr>
        <w:tabs>
          <w:tab w:val="left" w:pos="7560"/>
        </w:tabs>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20</w:t>
      </w:r>
      <w:r>
        <w:rPr>
          <w:rFonts w:eastAsia="仿宋_GB2312"/>
          <w:color w:val="000000"/>
          <w:sz w:val="32"/>
          <w:szCs w:val="32"/>
        </w:rPr>
        <w:t>万元，主要是</w:t>
      </w:r>
      <w:r>
        <w:rPr>
          <w:rFonts w:hint="eastAsia" w:eastAsia="仿宋_GB2312"/>
          <w:color w:val="000000"/>
          <w:sz w:val="32"/>
          <w:szCs w:val="32"/>
        </w:rPr>
        <w:t>专案办案组会议支出等</w:t>
      </w:r>
      <w:r>
        <w:rPr>
          <w:rFonts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20</w:t>
      </w:r>
      <w:r>
        <w:rPr>
          <w:rFonts w:eastAsia="仿宋_GB2312"/>
          <w:color w:val="000000"/>
          <w:sz w:val="32"/>
          <w:szCs w:val="32"/>
        </w:rPr>
        <w:t>万元，主要包括</w:t>
      </w:r>
      <w:r>
        <w:rPr>
          <w:rFonts w:hint="eastAsia" w:eastAsia="仿宋_GB2312"/>
          <w:color w:val="000000"/>
          <w:sz w:val="32"/>
          <w:szCs w:val="32"/>
        </w:rPr>
        <w:t>举办“清风醴陵”纪检监察业务培训等</w:t>
      </w:r>
      <w:r>
        <w:rPr>
          <w:rFonts w:eastAsia="仿宋_GB2312"/>
          <w:color w:val="000000"/>
          <w:sz w:val="32"/>
          <w:szCs w:val="32"/>
        </w:rPr>
        <w:t>。</w:t>
      </w:r>
    </w:p>
    <w:p>
      <w:pPr>
        <w:tabs>
          <w:tab w:val="left" w:pos="7560"/>
        </w:tabs>
        <w:adjustRightInd w:val="0"/>
        <w:snapToGrid w:val="0"/>
        <w:spacing w:line="560" w:lineRule="exact"/>
        <w:ind w:firstLine="640" w:firstLineChars="200"/>
      </w:pPr>
      <w:r>
        <w:rPr>
          <w:rFonts w:eastAsia="楷体_GB2312"/>
          <w:bCs/>
          <w:color w:val="000000"/>
          <w:sz w:val="32"/>
          <w:szCs w:val="32"/>
        </w:rPr>
        <w:t>（七）其他事项。</w:t>
      </w:r>
      <w:r>
        <w:rPr>
          <w:rFonts w:hint="eastAsia" w:eastAsia="仿宋_GB2312"/>
          <w:color w:val="000000"/>
          <w:sz w:val="32"/>
          <w:szCs w:val="32"/>
        </w:rPr>
        <w:t>本单位2021年预算未安排政府性基金收支预算、未安排专户收支预算。</w:t>
      </w:r>
      <w:r>
        <w:rPr>
          <w:rFonts w:hint="eastAsia" w:eastAsia="仿宋_GB2312"/>
          <w:color w:val="000000"/>
          <w:sz w:val="32"/>
          <w:szCs w:val="32"/>
          <w:lang w:val="en-US" w:eastAsia="zh-CN"/>
        </w:rPr>
        <w:t>本单位无门户网站，已在政府网统一公开。</w:t>
      </w:r>
    </w:p>
    <w:p>
      <w:pPr>
        <w:tabs>
          <w:tab w:val="left" w:pos="7560"/>
        </w:tabs>
        <w:adjustRightInd w:val="0"/>
        <w:snapToGrid w:val="0"/>
        <w:spacing w:line="560" w:lineRule="exact"/>
        <w:ind w:firstLine="643" w:firstLineChars="200"/>
        <w:rPr>
          <w:rFonts w:eastAsia="仿宋_GB2312"/>
          <w:b/>
          <w:bCs/>
          <w:color w:val="000000"/>
          <w:sz w:val="32"/>
          <w:szCs w:val="32"/>
        </w:rPr>
      </w:pPr>
    </w:p>
    <w:p>
      <w:pPr>
        <w:tabs>
          <w:tab w:val="left" w:pos="7560"/>
        </w:tabs>
        <w:adjustRightInd w:val="0"/>
        <w:snapToGrid w:val="0"/>
        <w:spacing w:line="560" w:lineRule="exact"/>
        <w:rPr>
          <w:rFonts w:eastAsia="仿宋_GB2312"/>
          <w:sz w:val="32"/>
          <w:szCs w:val="32"/>
        </w:rPr>
      </w:pPr>
    </w:p>
    <w:p>
      <w:pPr>
        <w:tabs>
          <w:tab w:val="left" w:pos="7560"/>
        </w:tabs>
        <w:adjustRightInd w:val="0"/>
        <w:snapToGrid w:val="0"/>
        <w:spacing w:line="560" w:lineRule="exact"/>
        <w:rPr>
          <w:rFonts w:eastAsia="仿宋_GB2312"/>
          <w:sz w:val="32"/>
          <w:szCs w:val="32"/>
        </w:rPr>
      </w:pPr>
    </w:p>
    <w:p>
      <w:pPr>
        <w:tabs>
          <w:tab w:val="left" w:pos="7560"/>
        </w:tabs>
        <w:adjustRightInd w:val="0"/>
        <w:snapToGrid w:val="0"/>
        <w:spacing w:line="560" w:lineRule="exact"/>
        <w:rPr>
          <w:rFonts w:eastAsia="仿宋_GB2312"/>
          <w:sz w:val="32"/>
          <w:szCs w:val="32"/>
        </w:rPr>
      </w:pPr>
    </w:p>
    <w:p>
      <w:pPr>
        <w:tabs>
          <w:tab w:val="left" w:pos="7560"/>
        </w:tabs>
        <w:adjustRightInd w:val="0"/>
        <w:snapToGrid w:val="0"/>
        <w:spacing w:line="560" w:lineRule="exact"/>
        <w:rPr>
          <w:rFonts w:eastAsia="仿宋_GB2312"/>
          <w:sz w:val="32"/>
          <w:szCs w:val="32"/>
        </w:rPr>
      </w:pPr>
    </w:p>
    <w:p>
      <w:pPr>
        <w:tabs>
          <w:tab w:val="left" w:pos="7560"/>
        </w:tabs>
        <w:adjustRightInd w:val="0"/>
        <w:snapToGrid w:val="0"/>
        <w:spacing w:line="560" w:lineRule="exact"/>
        <w:rPr>
          <w:rFonts w:eastAsia="仿宋_GB2312"/>
          <w:sz w:val="32"/>
          <w:szCs w:val="32"/>
        </w:rPr>
      </w:pPr>
    </w:p>
    <w:p>
      <w:pPr>
        <w:tabs>
          <w:tab w:val="left" w:pos="7560"/>
        </w:tabs>
        <w:adjustRightInd w:val="0"/>
        <w:snapToGrid w:val="0"/>
        <w:spacing w:line="560" w:lineRule="exact"/>
        <w:rPr>
          <w:rFonts w:eastAsia="仿宋_GB2312"/>
          <w:sz w:val="32"/>
          <w:szCs w:val="32"/>
        </w:rPr>
      </w:pPr>
    </w:p>
    <w:p>
      <w:pPr>
        <w:tabs>
          <w:tab w:val="left" w:pos="7560"/>
        </w:tabs>
        <w:adjustRightInd w:val="0"/>
        <w:snapToGrid w:val="0"/>
        <w:spacing w:line="560" w:lineRule="exact"/>
        <w:rPr>
          <w:rFonts w:eastAsia="仿宋_GB2312"/>
          <w:sz w:val="32"/>
          <w:szCs w:val="32"/>
        </w:rPr>
      </w:pPr>
    </w:p>
    <w:p>
      <w:pPr>
        <w:tabs>
          <w:tab w:val="left" w:pos="7560"/>
        </w:tabs>
        <w:adjustRightInd w:val="0"/>
        <w:snapToGrid w:val="0"/>
        <w:spacing w:line="560" w:lineRule="exact"/>
        <w:rPr>
          <w:rFonts w:eastAsia="仿宋_GB2312"/>
          <w:sz w:val="32"/>
          <w:szCs w:val="32"/>
        </w:rPr>
      </w:pPr>
    </w:p>
    <w:p>
      <w:pPr>
        <w:tabs>
          <w:tab w:val="left" w:pos="7560"/>
        </w:tabs>
        <w:adjustRightInd w:val="0"/>
        <w:snapToGrid w:val="0"/>
        <w:spacing w:line="560" w:lineRule="exact"/>
        <w:rPr>
          <w:rFonts w:eastAsia="仿宋_GB2312"/>
          <w:sz w:val="32"/>
          <w:szCs w:val="32"/>
        </w:rPr>
      </w:pPr>
    </w:p>
    <w:p>
      <w:pPr>
        <w:tabs>
          <w:tab w:val="left" w:pos="7560"/>
        </w:tabs>
        <w:adjustRightInd w:val="0"/>
        <w:snapToGrid w:val="0"/>
        <w:spacing w:line="560" w:lineRule="exact"/>
        <w:ind w:firstLine="643" w:firstLineChars="200"/>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YzZkNzQ4ZWFiZmQ4NTRhOWRkZTk3YTMwMjlmMmZhYmUifQ=="/>
  </w:docVars>
  <w:rsids>
    <w:rsidRoot w:val="00D84058"/>
    <w:rsid w:val="00307EFB"/>
    <w:rsid w:val="00323B43"/>
    <w:rsid w:val="003D37D8"/>
    <w:rsid w:val="004358AB"/>
    <w:rsid w:val="005553BA"/>
    <w:rsid w:val="006464CA"/>
    <w:rsid w:val="0077734D"/>
    <w:rsid w:val="007940AB"/>
    <w:rsid w:val="008B7726"/>
    <w:rsid w:val="00AA6B29"/>
    <w:rsid w:val="00B221AD"/>
    <w:rsid w:val="00CB1E75"/>
    <w:rsid w:val="00D84058"/>
    <w:rsid w:val="00E315E9"/>
    <w:rsid w:val="1F750E6B"/>
    <w:rsid w:val="27354F94"/>
    <w:rsid w:val="3086773A"/>
    <w:rsid w:val="38540328"/>
    <w:rsid w:val="38914458"/>
    <w:rsid w:val="3A2E4A52"/>
    <w:rsid w:val="46A409AC"/>
    <w:rsid w:val="62930A2A"/>
    <w:rsid w:val="77016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DCD75-5068-438F-8D6D-69C6DD374C74}">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2386</Words>
  <Characters>2539</Characters>
  <Lines>2</Lines>
  <Paragraphs>5</Paragraphs>
  <TotalTime>9</TotalTime>
  <ScaleCrop>false</ScaleCrop>
  <LinksUpToDate>false</LinksUpToDate>
  <CharactersWithSpaces>2554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Cherie</cp:lastModifiedBy>
  <cp:lastPrinted>2021-03-25T03:59:00Z</cp:lastPrinted>
  <dcterms:modified xsi:type="dcterms:W3CDTF">2022-09-12T12:39:25Z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5B9DB52790E64BAEAEDECE0D6658B177</vt:lpwstr>
  </property>
</Properties>
</file>