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醴陵市文化馆</w:t>
      </w:r>
    </w:p>
    <w:p>
      <w:pPr>
        <w:tabs>
          <w:tab w:val="left" w:pos="7560"/>
        </w:tabs>
        <w:adjustRightInd w:val="0"/>
        <w:snapToGrid w:val="0"/>
        <w:spacing w:line="56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numPr>
          <w:ilvl w:val="0"/>
          <w:numId w:val="1"/>
        </w:num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hAnsi="黑体" w:eastAsia="黑体"/>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一、部门职能职责</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（一）认真贯彻执行党和国家的文化方针政策和法律、法规，弘扬中华民族优秀传统文化，弘扬时代主旋律。</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（二）运用各种文化艺术手段，组织开展群众文化艺术活动，丰富群众精神文化生活。</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（三）搞好业余文艺群体建设，辅导、培训业余文艺骨干，组建多种门类的业余文艺团队，开展群众性文艺创作活动。</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（四）加强对乡镇、社区、企（事）业、机关、学校等文化站的文化工作指导和文化活动辅导。</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（五）积极开展群众文化理论研究，有计划地进行群文调研。</w:t>
      </w:r>
    </w:p>
    <w:p>
      <w:pPr>
        <w:tabs>
          <w:tab w:val="left" w:pos="7560"/>
        </w:tabs>
        <w:adjustRightInd w:val="0"/>
        <w:snapToGrid w:val="0"/>
        <w:spacing w:line="560" w:lineRule="exact"/>
        <w:ind w:firstLine="640" w:firstLineChars="200"/>
        <w:jc w:val="left"/>
        <w:rPr>
          <w:rFonts w:hAnsi="仿宋_GB2312" w:eastAsia="仿宋_GB2312"/>
          <w:sz w:val="32"/>
          <w:szCs w:val="32"/>
        </w:rPr>
      </w:pPr>
      <w:r>
        <w:rPr>
          <w:rFonts w:hint="eastAsia" w:hAnsi="仿宋_GB2312" w:eastAsia="仿宋_GB2312"/>
          <w:sz w:val="32"/>
          <w:szCs w:val="32"/>
        </w:rPr>
        <w:t>（六）搜集、整理、保护民族民间文化艺术遗产，建立健全群众文化艺术档案。</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14</w:t>
      </w:r>
      <w:r>
        <w:rPr>
          <w:rFonts w:eastAsia="仿宋_GB2312"/>
          <w:color w:val="000000"/>
          <w:sz w:val="32"/>
          <w:szCs w:val="32"/>
        </w:rPr>
        <w:t>人，实有人数</w:t>
      </w:r>
      <w:r>
        <w:rPr>
          <w:rFonts w:hint="eastAsia" w:eastAsia="仿宋_GB2312"/>
          <w:color w:val="000000"/>
          <w:sz w:val="32"/>
          <w:szCs w:val="32"/>
        </w:rPr>
        <w:t>11</w:t>
      </w:r>
      <w:r>
        <w:rPr>
          <w:rFonts w:eastAsia="仿宋_GB2312"/>
          <w:color w:val="000000"/>
          <w:sz w:val="32"/>
          <w:szCs w:val="32"/>
        </w:rPr>
        <w:t>人。</w:t>
      </w:r>
      <w:r>
        <w:rPr>
          <w:rFonts w:hint="eastAsia" w:eastAsia="仿宋_GB2312"/>
          <w:color w:val="000000"/>
          <w:sz w:val="32"/>
          <w:szCs w:val="32"/>
        </w:rPr>
        <w:t>内设办公室、声乐工作室、非遗工作室，舞蹈工作室，书画影工作室，器乐工作室，文学工作室</w:t>
      </w:r>
      <w:r>
        <w:rPr>
          <w:rFonts w:hint="eastAsia" w:eastAsia="仿宋_GB2312"/>
          <w:sz w:val="32"/>
          <w:szCs w:val="32"/>
        </w:rPr>
        <w:t>7</w:t>
      </w:r>
      <w:r>
        <w:rPr>
          <w:rFonts w:eastAsia="仿宋_GB2312"/>
          <w:color w:val="000000"/>
          <w:sz w:val="32"/>
          <w:szCs w:val="32"/>
        </w:rPr>
        <w:t>个</w:t>
      </w:r>
      <w:r>
        <w:rPr>
          <w:rFonts w:hint="eastAsia" w:eastAsia="仿宋_GB2312"/>
          <w:color w:val="000000"/>
          <w:sz w:val="32"/>
          <w:szCs w:val="32"/>
        </w:rPr>
        <w:t>股室。</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本部门</w:t>
      </w:r>
      <w:r>
        <w:rPr>
          <w:rFonts w:hint="eastAsia" w:eastAsia="仿宋_GB2312"/>
          <w:color w:val="000000"/>
          <w:sz w:val="32"/>
          <w:szCs w:val="32"/>
        </w:rPr>
        <w:t>无</w:t>
      </w:r>
      <w:r>
        <w:rPr>
          <w:rFonts w:eastAsia="仿宋_GB2312"/>
          <w:color w:val="000000"/>
          <w:sz w:val="32"/>
          <w:szCs w:val="32"/>
        </w:rPr>
        <w:t>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本馆机关</w:t>
      </w:r>
      <w:r>
        <w:rPr>
          <w:rFonts w:eastAsia="仿宋_GB2312"/>
          <w:color w:val="000000"/>
          <w:sz w:val="32"/>
          <w:szCs w:val="32"/>
        </w:rPr>
        <w:t>。收入包括一般公共预算收入、政府性基金收入；支出包括机关基本运行的经费</w:t>
      </w:r>
      <w:r>
        <w:rPr>
          <w:rFonts w:hint="eastAsia" w:eastAsia="仿宋_GB2312"/>
          <w:color w:val="000000"/>
          <w:sz w:val="32"/>
          <w:szCs w:val="32"/>
        </w:rPr>
        <w:t>及</w:t>
      </w:r>
      <w:r>
        <w:rPr>
          <w:rFonts w:eastAsia="仿宋_GB2312"/>
          <w:color w:val="000000"/>
          <w:sz w:val="32"/>
          <w:szCs w:val="32"/>
        </w:rPr>
        <w:t>专项经费。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202.26</w:t>
      </w:r>
      <w:r>
        <w:rPr>
          <w:rFonts w:eastAsia="仿宋_GB2312"/>
          <w:color w:val="000000"/>
          <w:sz w:val="32"/>
          <w:szCs w:val="32"/>
        </w:rPr>
        <w:t>万元，其中，一般公共预算拨款</w:t>
      </w:r>
      <w:r>
        <w:rPr>
          <w:rFonts w:hint="eastAsia" w:eastAsia="仿宋_GB2312"/>
          <w:color w:val="000000"/>
          <w:sz w:val="32"/>
          <w:szCs w:val="32"/>
        </w:rPr>
        <w:t>202.26</w:t>
      </w:r>
      <w:r>
        <w:rPr>
          <w:rFonts w:eastAsia="仿宋_GB2312"/>
          <w:color w:val="000000"/>
          <w:sz w:val="32"/>
          <w:szCs w:val="32"/>
        </w:rPr>
        <w:t>万元；政府性基金拨款</w:t>
      </w:r>
      <w:r>
        <w:rPr>
          <w:rFonts w:hint="eastAsia" w:eastAsia="仿宋_GB2312"/>
          <w:color w:val="000000"/>
          <w:sz w:val="32"/>
          <w:szCs w:val="32"/>
        </w:rPr>
        <w:t>0</w:t>
      </w:r>
      <w:r>
        <w:rPr>
          <w:rFonts w:eastAsia="仿宋_GB2312"/>
          <w:color w:val="000000"/>
          <w:sz w:val="32"/>
          <w:szCs w:val="32"/>
        </w:rPr>
        <w:t>万元；财政专户管理的非税收入拨款</w:t>
      </w:r>
      <w:r>
        <w:rPr>
          <w:rFonts w:hint="eastAsia" w:eastAsia="仿宋_GB2312"/>
          <w:color w:val="000000"/>
          <w:sz w:val="32"/>
          <w:szCs w:val="32"/>
        </w:rPr>
        <w:t>0</w:t>
      </w:r>
      <w:r>
        <w:rPr>
          <w:rFonts w:eastAsia="仿宋_GB2312"/>
          <w:color w:val="000000"/>
          <w:sz w:val="32"/>
          <w:szCs w:val="32"/>
        </w:rPr>
        <w:t>万元；其他收入</w:t>
      </w:r>
      <w:r>
        <w:rPr>
          <w:rFonts w:hint="eastAsia" w:eastAsia="仿宋_GB2312"/>
          <w:color w:val="000000"/>
          <w:sz w:val="32"/>
          <w:szCs w:val="32"/>
        </w:rPr>
        <w:t>0</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202.26</w:t>
      </w:r>
      <w:r>
        <w:rPr>
          <w:rFonts w:eastAsia="仿宋_GB2312"/>
          <w:color w:val="000000"/>
          <w:sz w:val="32"/>
          <w:szCs w:val="32"/>
        </w:rPr>
        <w:t>万元，其中，</w:t>
      </w:r>
      <w:r>
        <w:rPr>
          <w:rFonts w:hint="eastAsia" w:eastAsia="仿宋_GB2312"/>
          <w:color w:val="000000"/>
          <w:sz w:val="32"/>
          <w:szCs w:val="32"/>
        </w:rPr>
        <w:t>文化旅游体育与传媒支出</w:t>
      </w:r>
      <w:r>
        <w:rPr>
          <w:rFonts w:eastAsia="仿宋_GB2312"/>
          <w:color w:val="000000"/>
          <w:sz w:val="32"/>
          <w:szCs w:val="32"/>
        </w:rPr>
        <w:t>199.68</w:t>
      </w:r>
      <w:r>
        <w:rPr>
          <w:rFonts w:hint="eastAsia" w:eastAsia="仿宋_GB2312"/>
          <w:color w:val="000000"/>
          <w:sz w:val="32"/>
          <w:szCs w:val="32"/>
        </w:rPr>
        <w:t>万元，卫生健康支出</w:t>
      </w:r>
      <w:r>
        <w:rPr>
          <w:rFonts w:eastAsia="仿宋_GB2312"/>
          <w:color w:val="000000"/>
          <w:sz w:val="32"/>
          <w:szCs w:val="32"/>
        </w:rPr>
        <w:t>2.58</w:t>
      </w:r>
      <w:r>
        <w:rPr>
          <w:rFonts w:hint="eastAsia" w:eastAsia="仿宋_GB2312"/>
          <w:color w:val="000000"/>
          <w:sz w:val="32"/>
          <w:szCs w:val="32"/>
        </w:rPr>
        <w:t>万元</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年年初预算数为94.52万元，是指为保障单位机构正常运转、完成日常工作任务而发生的各项支出，包括用于基本工资、津贴补贴等人员经费以及日常公用经费、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p>
    <w:p>
      <w:pPr>
        <w:tabs>
          <w:tab w:val="left" w:pos="7560"/>
        </w:tabs>
        <w:adjustRightInd w:val="0"/>
        <w:snapToGrid w:val="0"/>
        <w:spacing w:line="560" w:lineRule="exact"/>
        <w:ind w:firstLine="643" w:firstLineChars="200"/>
        <w:jc w:val="left"/>
        <w:rPr>
          <w:rFonts w:eastAsia="仿宋_GB2312"/>
          <w:color w:val="auto"/>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年年初预算数为107.74万元，是指单位为完成特定行政工作任务或事业发展目标而发生的支出，</w:t>
      </w:r>
      <w:r>
        <w:rPr>
          <w:rFonts w:eastAsia="仿宋_GB2312"/>
          <w:color w:val="auto"/>
          <w:sz w:val="32"/>
          <w:szCs w:val="32"/>
        </w:rPr>
        <w:t>包括</w:t>
      </w:r>
      <w:r>
        <w:rPr>
          <w:rFonts w:hint="eastAsia" w:eastAsia="仿宋_GB2312"/>
          <w:color w:val="auto"/>
          <w:sz w:val="32"/>
          <w:szCs w:val="32"/>
        </w:rPr>
        <w:t>醴陵文化馆公共文化服务体系达标建设50万</w:t>
      </w:r>
      <w:r>
        <w:rPr>
          <w:rFonts w:hint="eastAsia" w:eastAsia="仿宋_GB2312"/>
          <w:color w:val="auto"/>
          <w:sz w:val="32"/>
          <w:szCs w:val="32"/>
          <w:lang w:eastAsia="zh-CN"/>
        </w:rPr>
        <w:t>、</w:t>
      </w:r>
      <w:r>
        <w:rPr>
          <w:rFonts w:hint="eastAsia" w:eastAsia="仿宋_GB2312"/>
          <w:color w:val="auto"/>
          <w:sz w:val="32"/>
          <w:szCs w:val="32"/>
        </w:rPr>
        <w:t>国家级非物质文化遗产保护资金15万</w:t>
      </w:r>
      <w:r>
        <w:rPr>
          <w:rFonts w:hint="eastAsia" w:eastAsia="仿宋_GB2312"/>
          <w:color w:val="auto"/>
          <w:sz w:val="32"/>
          <w:szCs w:val="32"/>
          <w:lang w:eastAsia="zh-CN"/>
        </w:rPr>
        <w:t>、</w:t>
      </w:r>
      <w:r>
        <w:rPr>
          <w:rFonts w:hint="eastAsia" w:eastAsia="仿宋_GB2312"/>
          <w:color w:val="auto"/>
          <w:sz w:val="32"/>
          <w:szCs w:val="32"/>
        </w:rPr>
        <w:t>非物质文化遗产项目专项资金19万</w:t>
      </w:r>
      <w:r>
        <w:rPr>
          <w:rFonts w:hint="eastAsia" w:eastAsia="仿宋_GB2312"/>
          <w:color w:val="auto"/>
          <w:sz w:val="32"/>
          <w:szCs w:val="32"/>
          <w:lang w:eastAsia="zh-CN"/>
        </w:rPr>
        <w:t>、</w:t>
      </w:r>
      <w:r>
        <w:rPr>
          <w:rFonts w:hint="eastAsia" w:eastAsia="仿宋_GB2312"/>
          <w:color w:val="auto"/>
          <w:sz w:val="32"/>
          <w:szCs w:val="32"/>
        </w:rPr>
        <w:t>省舞蹈考级费12万</w:t>
      </w:r>
      <w:r>
        <w:rPr>
          <w:rFonts w:hint="eastAsia" w:eastAsia="仿宋_GB2312"/>
          <w:color w:val="auto"/>
          <w:sz w:val="32"/>
          <w:szCs w:val="32"/>
          <w:lang w:eastAsia="zh-CN"/>
        </w:rPr>
        <w:t>、</w:t>
      </w:r>
      <w:r>
        <w:rPr>
          <w:rFonts w:hint="eastAsia" w:eastAsia="仿宋_GB2312"/>
          <w:color w:val="auto"/>
          <w:sz w:val="32"/>
          <w:szCs w:val="32"/>
        </w:rPr>
        <w:t>文化专项转移其他文化和旅游支出星子灯费用10万</w:t>
      </w:r>
      <w:r>
        <w:rPr>
          <w:rFonts w:hint="eastAsia" w:eastAsia="仿宋_GB2312"/>
          <w:color w:val="auto"/>
          <w:sz w:val="32"/>
          <w:szCs w:val="32"/>
          <w:lang w:eastAsia="zh-CN"/>
        </w:rPr>
        <w:t>、</w:t>
      </w:r>
      <w:r>
        <w:rPr>
          <w:rFonts w:hint="eastAsia" w:eastAsia="仿宋_GB2312"/>
          <w:color w:val="auto"/>
          <w:sz w:val="32"/>
          <w:szCs w:val="32"/>
        </w:rPr>
        <w:t>其他支出1.74万</w:t>
      </w:r>
      <w:r>
        <w:rPr>
          <w:rFonts w:eastAsia="仿宋_GB2312"/>
          <w:color w:val="auto"/>
          <w:sz w:val="32"/>
          <w:szCs w:val="32"/>
        </w:rPr>
        <w:t>等。</w:t>
      </w:r>
    </w:p>
    <w:p>
      <w:pPr>
        <w:numPr>
          <w:ilvl w:val="0"/>
          <w:numId w:val="2"/>
        </w:numPr>
        <w:tabs>
          <w:tab w:val="left" w:pos="7560"/>
        </w:tabs>
        <w:adjustRightInd w:val="0"/>
        <w:snapToGrid w:val="0"/>
        <w:spacing w:line="560" w:lineRule="exact"/>
        <w:ind w:left="200" w:leftChars="0" w:firstLine="640" w:firstLineChars="0"/>
        <w:jc w:val="left"/>
        <w:rPr>
          <w:rFonts w:eastAsia="仿宋_GB2312"/>
          <w:color w:val="000000"/>
          <w:sz w:val="32"/>
          <w:szCs w:val="32"/>
        </w:rPr>
      </w:pPr>
      <w:r>
        <w:rPr>
          <w:rFonts w:eastAsia="楷体_GB2312"/>
          <w:bCs/>
          <w:color w:val="000000"/>
          <w:sz w:val="32"/>
          <w:szCs w:val="32"/>
        </w:rPr>
        <w:t>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lang w:val="en-US" w:eastAsia="zh-CN"/>
        </w:rPr>
        <w:t>202.26</w:t>
      </w:r>
      <w:r>
        <w:rPr>
          <w:rFonts w:eastAsia="仿宋_GB2312"/>
          <w:color w:val="000000"/>
          <w:sz w:val="32"/>
          <w:szCs w:val="32"/>
        </w:rPr>
        <w:t>万元，比上年增加</w:t>
      </w:r>
      <w:r>
        <w:rPr>
          <w:rFonts w:hint="eastAsia" w:eastAsia="仿宋_GB2312"/>
          <w:color w:val="000000"/>
          <w:sz w:val="32"/>
          <w:szCs w:val="32"/>
          <w:lang w:val="en-US" w:eastAsia="zh-CN"/>
        </w:rPr>
        <w:t>35.35</w:t>
      </w:r>
      <w:r>
        <w:rPr>
          <w:rFonts w:eastAsia="仿宋_GB2312"/>
          <w:color w:val="000000"/>
          <w:sz w:val="32"/>
          <w:szCs w:val="32"/>
        </w:rPr>
        <w:t>万元，主要原因是</w:t>
      </w:r>
      <w:r>
        <w:rPr>
          <w:rFonts w:hint="eastAsia" w:eastAsia="仿宋_GB2312"/>
          <w:color w:val="000000"/>
          <w:sz w:val="32"/>
          <w:szCs w:val="32"/>
        </w:rPr>
        <w:t>上级专项转移支付</w:t>
      </w:r>
      <w:r>
        <w:rPr>
          <w:rFonts w:eastAsia="仿宋_GB2312"/>
          <w:color w:val="000000"/>
          <w:sz w:val="32"/>
          <w:szCs w:val="32"/>
        </w:rPr>
        <w:t>经费</w:t>
      </w:r>
      <w:r>
        <w:rPr>
          <w:rFonts w:hint="eastAsia" w:eastAsia="仿宋_GB2312"/>
          <w:color w:val="000000"/>
          <w:sz w:val="32"/>
          <w:szCs w:val="32"/>
        </w:rPr>
        <w:t>较去年</w:t>
      </w:r>
      <w:r>
        <w:rPr>
          <w:rFonts w:eastAsia="仿宋_GB2312"/>
          <w:color w:val="000000"/>
          <w:sz w:val="32"/>
          <w:szCs w:val="32"/>
        </w:rPr>
        <w:t>上涨</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为事业单位，无机关运行</w:t>
      </w:r>
      <w:r>
        <w:rPr>
          <w:rFonts w:hint="eastAsia" w:eastAsia="仿宋_GB2312"/>
          <w:bCs/>
          <w:color w:val="000000"/>
          <w:sz w:val="32"/>
          <w:szCs w:val="32"/>
        </w:rPr>
        <w:t>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万元。包含：</w:t>
      </w:r>
      <w:r>
        <w:rPr>
          <w:rFonts w:hint="eastAsia" w:eastAsia="仿宋_GB2312"/>
          <w:color w:val="000000"/>
          <w:sz w:val="32"/>
          <w:szCs w:val="32"/>
        </w:rPr>
        <w:t>货物类0</w:t>
      </w:r>
      <w:r>
        <w:rPr>
          <w:rFonts w:eastAsia="仿宋_GB2312"/>
          <w:color w:val="000000"/>
          <w:sz w:val="32"/>
          <w:szCs w:val="32"/>
        </w:rPr>
        <w:t>万元、</w:t>
      </w:r>
      <w:r>
        <w:rPr>
          <w:rFonts w:hint="eastAsia" w:eastAsia="仿宋_GB2312"/>
          <w:color w:val="000000"/>
          <w:sz w:val="32"/>
          <w:szCs w:val="32"/>
        </w:rPr>
        <w:t xml:space="preserve">服务类0 </w:t>
      </w:r>
      <w:r>
        <w:rPr>
          <w:rFonts w:eastAsia="仿宋_GB2312"/>
          <w:color w:val="000000"/>
          <w:sz w:val="32"/>
          <w:szCs w:val="32"/>
        </w:rPr>
        <w:t>万元</w:t>
      </w:r>
      <w:r>
        <w:rPr>
          <w:rFonts w:hint="eastAsia" w:eastAsia="仿宋_GB2312"/>
          <w:color w:val="000000"/>
          <w:sz w:val="32"/>
          <w:szCs w:val="32"/>
        </w:rPr>
        <w:t>、工程类0万元。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年12月31日，本部门共有办公及业务用房1,528平方米；车辆</w:t>
      </w:r>
      <w:r>
        <w:rPr>
          <w:rFonts w:hint="eastAsia" w:eastAsia="仿宋_GB2312"/>
          <w:color w:val="000000"/>
          <w:sz w:val="32"/>
          <w:szCs w:val="32"/>
        </w:rPr>
        <w:t>0</w:t>
      </w:r>
      <w:r>
        <w:rPr>
          <w:rFonts w:eastAsia="仿宋_GB2312"/>
          <w:color w:val="000000"/>
          <w:sz w:val="32"/>
          <w:szCs w:val="32"/>
        </w:rPr>
        <w:t xml:space="preserve"> 辆，其中一般公务用车</w:t>
      </w:r>
      <w:r>
        <w:rPr>
          <w:rFonts w:hint="eastAsia" w:eastAsia="仿宋_GB2312"/>
          <w:color w:val="000000"/>
          <w:sz w:val="32"/>
          <w:szCs w:val="32"/>
        </w:rPr>
        <w:t>0</w:t>
      </w:r>
      <w:r>
        <w:rPr>
          <w:rFonts w:eastAsia="仿宋_GB2312"/>
          <w:color w:val="000000"/>
          <w:sz w:val="32"/>
          <w:szCs w:val="32"/>
        </w:rPr>
        <w:t>辆、一般执法执勤用车</w:t>
      </w:r>
      <w:r>
        <w:rPr>
          <w:rFonts w:hint="eastAsia" w:eastAsia="仿宋_GB2312"/>
          <w:color w:val="000000"/>
          <w:sz w:val="32"/>
          <w:szCs w:val="32"/>
        </w:rPr>
        <w:t>0</w:t>
      </w:r>
      <w:r>
        <w:rPr>
          <w:rFonts w:eastAsia="仿宋_GB2312"/>
          <w:color w:val="000000"/>
          <w:sz w:val="32"/>
          <w:szCs w:val="32"/>
        </w:rPr>
        <w:t>辆、货币化用车</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202.26</w:t>
      </w:r>
      <w:r>
        <w:rPr>
          <w:rFonts w:eastAsia="仿宋_GB2312"/>
          <w:color w:val="000000"/>
          <w:sz w:val="32"/>
          <w:szCs w:val="32"/>
        </w:rPr>
        <w:t>万元，其中，</w:t>
      </w:r>
      <w:bookmarkStart w:id="0" w:name="_GoBack"/>
      <w:bookmarkEnd w:id="0"/>
      <w:r>
        <w:rPr>
          <w:rFonts w:eastAsia="仿宋_GB2312"/>
          <w:color w:val="000000"/>
          <w:sz w:val="32"/>
          <w:szCs w:val="32"/>
        </w:rPr>
        <w:t>基本支出</w:t>
      </w:r>
      <w:r>
        <w:rPr>
          <w:rFonts w:hint="eastAsia" w:eastAsia="仿宋_GB2312"/>
          <w:color w:val="000000"/>
          <w:sz w:val="32"/>
          <w:szCs w:val="32"/>
        </w:rPr>
        <w:t>94.52</w:t>
      </w:r>
      <w:r>
        <w:rPr>
          <w:rFonts w:eastAsia="仿宋_GB2312"/>
          <w:color w:val="000000"/>
          <w:sz w:val="32"/>
          <w:szCs w:val="32"/>
        </w:rPr>
        <w:t xml:space="preserve">万元，项目支出   </w:t>
      </w:r>
      <w:r>
        <w:rPr>
          <w:rFonts w:hint="eastAsia" w:eastAsia="仿宋_GB2312"/>
          <w:color w:val="000000"/>
          <w:sz w:val="32"/>
          <w:szCs w:val="32"/>
        </w:rPr>
        <w:t>107.74</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0</w:t>
      </w:r>
      <w:r>
        <w:rPr>
          <w:rFonts w:eastAsia="仿宋_GB2312"/>
          <w:color w:val="000000"/>
          <w:sz w:val="32"/>
          <w:szCs w:val="32"/>
        </w:rPr>
        <w:t>万元，其中：公务接待费</w:t>
      </w:r>
      <w:r>
        <w:rPr>
          <w:rFonts w:hint="eastAsia" w:eastAsia="仿宋_GB2312"/>
          <w:color w:val="000000"/>
          <w:sz w:val="32"/>
          <w:szCs w:val="32"/>
        </w:rPr>
        <w:t>0</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0</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0</w:t>
      </w:r>
      <w:r>
        <w:rPr>
          <w:rFonts w:eastAsia="仿宋_GB2312"/>
          <w:color w:val="000000"/>
          <w:sz w:val="32"/>
          <w:szCs w:val="32"/>
        </w:rPr>
        <w:t>万元。</w:t>
      </w:r>
    </w:p>
    <w:p>
      <w:pPr>
        <w:numPr>
          <w:ilvl w:val="0"/>
          <w:numId w:val="3"/>
        </w:num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其他事项。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本单位2021年预算未安排政府性基金收支预算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本单位2021年预算未安排</w:t>
      </w:r>
      <w:r>
        <w:rPr>
          <w:rFonts w:hint="eastAsia" w:eastAsia="仿宋_GB2312"/>
          <w:color w:val="000000"/>
          <w:sz w:val="32"/>
          <w:szCs w:val="32"/>
        </w:rPr>
        <w:t>纳入专户管理的非税收入拨款。</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hint="eastAsia" w:eastAsia="仿宋_GB2312"/>
          <w:color w:val="000000"/>
          <w:sz w:val="32"/>
          <w:szCs w:val="32"/>
        </w:rPr>
        <w:t>本单位无门户网站，预算在政府网统一公开。</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r>
        <w:rPr>
          <w:rFonts w:eastAsia="仿宋_GB2312"/>
          <w:sz w:val="32"/>
          <w:szCs w:val="32"/>
        </w:rPr>
        <w:br w:type="textWrapping"/>
      </w:r>
      <w:r>
        <w:rPr>
          <w:rFonts w:hint="eastAsia" w:eastAsia="仿宋_GB2312"/>
          <w:b/>
          <w:sz w:val="32"/>
          <w:szCs w:val="32"/>
        </w:rPr>
        <w:t xml:space="preserve">        </w:t>
      </w:r>
      <w:r>
        <w:rPr>
          <w:rFonts w:eastAsia="仿宋_GB2312"/>
          <w:b/>
          <w:sz w:val="32"/>
          <w:szCs w:val="32"/>
        </w:rPr>
        <w:t>8.机关运行经费：</w:t>
      </w:r>
      <w:r>
        <w:rPr>
          <w:rFonts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F3826"/>
    <w:multiLevelType w:val="singleLevel"/>
    <w:tmpl w:val="D61F3826"/>
    <w:lvl w:ilvl="0" w:tentative="0">
      <w:start w:val="7"/>
      <w:numFmt w:val="chineseCounting"/>
      <w:suff w:val="nothing"/>
      <w:lvlText w:val="（%1）"/>
      <w:lvlJc w:val="left"/>
      <w:rPr>
        <w:rFonts w:hint="eastAsia"/>
      </w:rPr>
    </w:lvl>
  </w:abstractNum>
  <w:abstractNum w:abstractNumId="1">
    <w:nsid w:val="17A58D75"/>
    <w:multiLevelType w:val="singleLevel"/>
    <w:tmpl w:val="17A58D75"/>
    <w:lvl w:ilvl="0" w:tentative="0">
      <w:start w:val="3"/>
      <w:numFmt w:val="chineseCounting"/>
      <w:suff w:val="nothing"/>
      <w:lvlText w:val="（%1）"/>
      <w:lvlJc w:val="left"/>
      <w:pPr>
        <w:ind w:left="200"/>
      </w:pPr>
      <w:rPr>
        <w:rFonts w:hint="eastAsia"/>
      </w:rPr>
    </w:lvl>
  </w:abstractNum>
  <w:abstractNum w:abstractNumId="2">
    <w:nsid w:val="2ABB1A5D"/>
    <w:multiLevelType w:val="singleLevel"/>
    <w:tmpl w:val="2ABB1A5D"/>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NGM1ZTcyNmNiYTEyYzI2MzkzMzBiZjcyMWIwYTcifQ=="/>
  </w:docVars>
  <w:rsids>
    <w:rsidRoot w:val="00D84058"/>
    <w:rsid w:val="000147FA"/>
    <w:rsid w:val="000C08BA"/>
    <w:rsid w:val="000D78B6"/>
    <w:rsid w:val="0016543D"/>
    <w:rsid w:val="001D2DA6"/>
    <w:rsid w:val="00236E6F"/>
    <w:rsid w:val="00263D7E"/>
    <w:rsid w:val="00323B43"/>
    <w:rsid w:val="00344ADC"/>
    <w:rsid w:val="00373B99"/>
    <w:rsid w:val="003C35D6"/>
    <w:rsid w:val="003D37D8"/>
    <w:rsid w:val="004358AB"/>
    <w:rsid w:val="004B7C81"/>
    <w:rsid w:val="005553BA"/>
    <w:rsid w:val="005D3187"/>
    <w:rsid w:val="006119B3"/>
    <w:rsid w:val="006464CA"/>
    <w:rsid w:val="00753E92"/>
    <w:rsid w:val="0077734D"/>
    <w:rsid w:val="007939AE"/>
    <w:rsid w:val="007D2DF0"/>
    <w:rsid w:val="00885B8B"/>
    <w:rsid w:val="008B7726"/>
    <w:rsid w:val="0096123D"/>
    <w:rsid w:val="009F4E98"/>
    <w:rsid w:val="00A906AA"/>
    <w:rsid w:val="00B221AD"/>
    <w:rsid w:val="00C24503"/>
    <w:rsid w:val="00CB1E75"/>
    <w:rsid w:val="00CC07CB"/>
    <w:rsid w:val="00D0744B"/>
    <w:rsid w:val="00D57881"/>
    <w:rsid w:val="00D84058"/>
    <w:rsid w:val="00E13FAF"/>
    <w:rsid w:val="00E315E9"/>
    <w:rsid w:val="00EE5BD8"/>
    <w:rsid w:val="00F2621E"/>
    <w:rsid w:val="00FF095D"/>
    <w:rsid w:val="02F61D5C"/>
    <w:rsid w:val="043401FB"/>
    <w:rsid w:val="046766ED"/>
    <w:rsid w:val="050657E5"/>
    <w:rsid w:val="06080F77"/>
    <w:rsid w:val="07740B27"/>
    <w:rsid w:val="0A7E6740"/>
    <w:rsid w:val="0C72222E"/>
    <w:rsid w:val="0DAC2A6F"/>
    <w:rsid w:val="0DBB23DE"/>
    <w:rsid w:val="124D30D7"/>
    <w:rsid w:val="14DA5F7A"/>
    <w:rsid w:val="19460A2F"/>
    <w:rsid w:val="19AD056A"/>
    <w:rsid w:val="1BAA01CF"/>
    <w:rsid w:val="1DAB4CCB"/>
    <w:rsid w:val="1E316091"/>
    <w:rsid w:val="22981962"/>
    <w:rsid w:val="254E5854"/>
    <w:rsid w:val="27561DB2"/>
    <w:rsid w:val="28F64270"/>
    <w:rsid w:val="2AB87EE5"/>
    <w:rsid w:val="2ACD57C6"/>
    <w:rsid w:val="2AE45091"/>
    <w:rsid w:val="2BB822ED"/>
    <w:rsid w:val="2C2B7B5F"/>
    <w:rsid w:val="2CBD6A38"/>
    <w:rsid w:val="2E814120"/>
    <w:rsid w:val="2F793AEC"/>
    <w:rsid w:val="30F108DF"/>
    <w:rsid w:val="32A54F86"/>
    <w:rsid w:val="332351D9"/>
    <w:rsid w:val="33E32220"/>
    <w:rsid w:val="34471E42"/>
    <w:rsid w:val="35305211"/>
    <w:rsid w:val="35B41276"/>
    <w:rsid w:val="3696355E"/>
    <w:rsid w:val="3A695C92"/>
    <w:rsid w:val="3C817C4E"/>
    <w:rsid w:val="3F8871ED"/>
    <w:rsid w:val="3FD0373A"/>
    <w:rsid w:val="450B19BF"/>
    <w:rsid w:val="453C0811"/>
    <w:rsid w:val="45F13209"/>
    <w:rsid w:val="46EB1D94"/>
    <w:rsid w:val="47D3027E"/>
    <w:rsid w:val="4C172162"/>
    <w:rsid w:val="4C2300C8"/>
    <w:rsid w:val="4C583963"/>
    <w:rsid w:val="550A0F34"/>
    <w:rsid w:val="56B13D58"/>
    <w:rsid w:val="57CE008E"/>
    <w:rsid w:val="5AEE325E"/>
    <w:rsid w:val="5BCA5BFB"/>
    <w:rsid w:val="5BFD5AF3"/>
    <w:rsid w:val="61AE0E61"/>
    <w:rsid w:val="6340786D"/>
    <w:rsid w:val="667E3408"/>
    <w:rsid w:val="66DB68D5"/>
    <w:rsid w:val="674D36B8"/>
    <w:rsid w:val="6A4E66CF"/>
    <w:rsid w:val="6A681BC4"/>
    <w:rsid w:val="6AF84C0F"/>
    <w:rsid w:val="6D0D74B0"/>
    <w:rsid w:val="6D75347C"/>
    <w:rsid w:val="6E184D4D"/>
    <w:rsid w:val="71034C0B"/>
    <w:rsid w:val="73B63B77"/>
    <w:rsid w:val="73E52655"/>
    <w:rsid w:val="74211795"/>
    <w:rsid w:val="778D54E1"/>
    <w:rsid w:val="78FF0E98"/>
    <w:rsid w:val="79EC27F2"/>
    <w:rsid w:val="7A0D012C"/>
    <w:rsid w:val="7BB03187"/>
    <w:rsid w:val="7BF037C0"/>
    <w:rsid w:val="7C0050A2"/>
    <w:rsid w:val="7C4510C2"/>
    <w:rsid w:val="7C8B0981"/>
    <w:rsid w:val="7D6D6C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B7D2B-03A9-4F49-A23C-EA707BA5CC45}">
  <ds:schemaRefs/>
</ds:datastoreItem>
</file>

<file path=docProps/app.xml><?xml version="1.0" encoding="utf-8"?>
<Properties xmlns="http://schemas.openxmlformats.org/officeDocument/2006/extended-properties" xmlns:vt="http://schemas.openxmlformats.org/officeDocument/2006/docPropsVTypes">
  <Template>Normal</Template>
  <Pages>8</Pages>
  <Words>2570</Words>
  <Characters>2723</Characters>
  <Lines>19</Lines>
  <Paragraphs>5</Paragraphs>
  <TotalTime>22</TotalTime>
  <ScaleCrop>false</ScaleCrop>
  <LinksUpToDate>false</LinksUpToDate>
  <CharactersWithSpaces>2746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2022-08-23T02:59:00Z</dcterms:created>
  <dc:creator>null,null,总收发</dc:creator>
  <cp:lastModifiedBy>A</cp:lastModifiedBy>
  <dcterms:modified xsi:type="dcterms:W3CDTF">2022-09-13T03:50:03Z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9396DF54A91041D1AE6A82982BC9C285</vt:lpwstr>
  </property>
</Properties>
</file>