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lang w:val="en-US" w:eastAsia="zh-CN"/>
        </w:rPr>
      </w:pPr>
      <w:r>
        <w:rPr>
          <w:rFonts w:hint="eastAsia" w:eastAsia="方正小标宋简体"/>
          <w:bCs/>
          <w:color w:val="000000"/>
          <w:sz w:val="44"/>
          <w:szCs w:val="44"/>
          <w:lang w:val="en-US" w:eastAsia="zh-CN"/>
        </w:rPr>
        <w:t>醴陵市网格化管理服务中心</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ascii="仿宋_GB2312" w:hAnsi="Times New Roman" w:eastAsia="仿宋_GB2312" w:cs="仿宋_GB2312"/>
          <w:color w:val="4C4C4C"/>
          <w:sz w:val="31"/>
          <w:szCs w:val="31"/>
        </w:rPr>
        <w:t>醴陵市网格化管理服务中心贯彻落实党中央关于网格化管理服务工作的方针政策和决策部署</w:t>
      </w:r>
      <w:r>
        <w:rPr>
          <w:rFonts w:hint="eastAsia" w:ascii="仿宋_GB2312" w:hAnsi="Times New Roman" w:eastAsia="仿宋_GB2312" w:cs="仿宋_GB2312"/>
          <w:color w:val="4C4C4C"/>
          <w:sz w:val="31"/>
          <w:szCs w:val="31"/>
        </w:rPr>
        <w:t>，全面落实省委、株洲市委、市委关于网格化管理服务工作的部署要求，在履行职责过程中坚持和加强党对网格化管理服务工作的集中统一领导。主要职责是：</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hint="eastAsia" w:ascii="仿宋_GB2312" w:hAnsi="Times New Roman" w:eastAsia="仿宋_GB2312" w:cs="仿宋_GB2312"/>
          <w:color w:val="4C4C4C"/>
          <w:sz w:val="31"/>
          <w:szCs w:val="31"/>
        </w:rPr>
        <w:t>（一）贯彻执行中央、省、株洲市有关社会治理创新和便民服务、市场监管、综合执法服务、社会综合治理等公益服务方面的方针、政策和法律、法规、规章；统筹协调全市网格化管理服务的各项工作。</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hint="eastAsia" w:ascii="仿宋_GB2312" w:hAnsi="Times New Roman" w:eastAsia="仿宋_GB2312" w:cs="仿宋_GB2312"/>
          <w:color w:val="4C4C4C"/>
          <w:sz w:val="31"/>
          <w:szCs w:val="31"/>
        </w:rPr>
        <w:t>（二）负责研究拟订本市有关网格化管理服务的中长期发展规划，制定年度计划，并组织实施，为网格化管理提供服务保障。</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hint="eastAsia" w:ascii="仿宋_GB2312" w:hAnsi="Times New Roman" w:eastAsia="仿宋_GB2312" w:cs="仿宋_GB2312"/>
          <w:color w:val="4C4C4C"/>
          <w:sz w:val="31"/>
          <w:szCs w:val="31"/>
        </w:rPr>
        <w:t>（三）负责制定全市网格化阵地建设规范、网格划分规范；负责市级阵地建设、维护与管理等相关事务性工作。</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hint="eastAsia" w:ascii="仿宋_GB2312" w:hAnsi="Times New Roman" w:eastAsia="仿宋_GB2312" w:cs="仿宋_GB2312"/>
          <w:color w:val="4C4C4C"/>
          <w:sz w:val="31"/>
          <w:szCs w:val="31"/>
        </w:rPr>
        <w:t>（四）参与需要市级层面统筹协调的社会治理事件的应急指挥、分类派发、督查督办等工作。</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hint="eastAsia" w:ascii="仿宋_GB2312" w:hAnsi="Times New Roman" w:eastAsia="仿宋_GB2312" w:cs="仿宋_GB2312"/>
          <w:color w:val="4C4C4C"/>
          <w:sz w:val="31"/>
          <w:szCs w:val="31"/>
        </w:rPr>
        <w:t>（五）负责统筹指导全市网格化管理服务信息系统建设、运行、维护工作。</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hint="eastAsia" w:ascii="仿宋_GB2312" w:hAnsi="Times New Roman" w:eastAsia="仿宋_GB2312" w:cs="仿宋_GB2312"/>
          <w:color w:val="4C4C4C"/>
          <w:sz w:val="31"/>
          <w:szCs w:val="31"/>
        </w:rPr>
        <w:t>（六）负责专职网格员的招聘、培训、考核等事务性工作；负责兼职网格员的业务指导工作。</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hint="eastAsia" w:ascii="仿宋_GB2312" w:hAnsi="Times New Roman" w:eastAsia="仿宋_GB2312" w:cs="仿宋_GB2312"/>
          <w:color w:val="4C4C4C"/>
          <w:sz w:val="31"/>
          <w:szCs w:val="31"/>
        </w:rPr>
        <w:t>（七）负责对社会治理要素信息统一采集录入、维护更新、公共安全信息处理工作；组织开展网格内巡查发现、诉求反馈、前期处置、全程监督、政务服务、民生代办服务等事务性工作。</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hint="eastAsia" w:ascii="仿宋_GB2312" w:hAnsi="Times New Roman" w:eastAsia="仿宋_GB2312" w:cs="仿宋_GB2312"/>
          <w:color w:val="4C4C4C"/>
          <w:sz w:val="31"/>
          <w:szCs w:val="31"/>
        </w:rPr>
        <w:t>（八）负责对全市网格化管理服务工作研究、调度、协调和落实的事务性工作；负责督导网格化服务管理体系建设和拓展深化等相关事务性工作。</w:t>
      </w:r>
    </w:p>
    <w:p>
      <w:pPr>
        <w:pStyle w:val="4"/>
        <w:keepNext w:val="0"/>
        <w:keepLines w:val="0"/>
        <w:widowControl/>
        <w:suppressLineNumbers w:val="0"/>
        <w:spacing w:before="0" w:beforeAutospacing="0" w:after="0" w:afterAutospacing="0" w:line="600" w:lineRule="atLeast"/>
        <w:ind w:left="0" w:right="0" w:firstLine="645"/>
        <w:rPr>
          <w:color w:val="4C4C4C"/>
          <w:sz w:val="24"/>
          <w:szCs w:val="24"/>
        </w:rPr>
      </w:pPr>
      <w:r>
        <w:rPr>
          <w:rFonts w:hint="eastAsia" w:ascii="仿宋_GB2312" w:hAnsi="Times New Roman" w:eastAsia="仿宋_GB2312" w:cs="仿宋_GB2312"/>
          <w:color w:val="4C4C4C"/>
          <w:sz w:val="31"/>
          <w:szCs w:val="31"/>
        </w:rPr>
        <w:t>（九）承担市委、市人民政府交办的其他工作。</w:t>
      </w:r>
    </w:p>
    <w:p>
      <w:pPr>
        <w:numPr>
          <w:ilvl w:val="0"/>
          <w:numId w:val="0"/>
        </w:numPr>
        <w:tabs>
          <w:tab w:val="left" w:pos="7560"/>
        </w:tabs>
        <w:adjustRightInd w:val="0"/>
        <w:snapToGrid w:val="0"/>
        <w:spacing w:line="560" w:lineRule="exact"/>
        <w:jc w:val="left"/>
        <w:rPr>
          <w:rFonts w:hint="default" w:hAnsi="黑体" w:eastAsia="黑体"/>
          <w:color w:val="000000"/>
          <w:sz w:val="32"/>
          <w:szCs w:val="32"/>
          <w:lang w:val="en-US" w:eastAsia="zh-CN"/>
        </w:rPr>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lang w:val="en-US" w:eastAsia="zh-CN"/>
        </w:rPr>
        <w:t>27</w:t>
      </w:r>
      <w:r>
        <w:rPr>
          <w:rFonts w:eastAsia="仿宋_GB2312"/>
          <w:color w:val="000000"/>
          <w:sz w:val="32"/>
          <w:szCs w:val="32"/>
        </w:rPr>
        <w:t xml:space="preserve"> 人，实有人数 </w:t>
      </w:r>
      <w:r>
        <w:rPr>
          <w:rFonts w:hint="eastAsia" w:eastAsia="仿宋_GB2312"/>
          <w:color w:val="000000"/>
          <w:sz w:val="32"/>
          <w:szCs w:val="32"/>
          <w:lang w:val="en-US" w:eastAsia="zh-CN"/>
        </w:rPr>
        <w:t>17</w:t>
      </w:r>
      <w:r>
        <w:rPr>
          <w:rFonts w:eastAsia="仿宋_GB2312"/>
          <w:color w:val="000000"/>
          <w:sz w:val="32"/>
          <w:szCs w:val="32"/>
        </w:rPr>
        <w:t xml:space="preserve"> 人。内设</w:t>
      </w:r>
      <w:r>
        <w:rPr>
          <w:rFonts w:hint="eastAsia" w:eastAsia="仿宋_GB2312"/>
          <w:color w:val="000000"/>
          <w:sz w:val="32"/>
          <w:szCs w:val="32"/>
          <w:lang w:val="en-US" w:eastAsia="zh-CN"/>
        </w:rPr>
        <w:t>组</w:t>
      </w:r>
      <w:r>
        <w:rPr>
          <w:rFonts w:eastAsia="仿宋_GB2312"/>
          <w:color w:val="000000"/>
          <w:sz w:val="32"/>
          <w:szCs w:val="32"/>
        </w:rPr>
        <w:t xml:space="preserve">室 </w:t>
      </w:r>
      <w:r>
        <w:rPr>
          <w:rFonts w:hint="eastAsia" w:eastAsia="仿宋_GB2312"/>
          <w:color w:val="000000"/>
          <w:sz w:val="32"/>
          <w:szCs w:val="32"/>
          <w:lang w:val="en-US" w:eastAsia="zh-CN"/>
        </w:rPr>
        <w:t>4</w:t>
      </w:r>
      <w:r>
        <w:rPr>
          <w:rFonts w:eastAsia="仿宋_GB2312"/>
          <w:color w:val="000000"/>
          <w:sz w:val="32"/>
          <w:szCs w:val="32"/>
        </w:rPr>
        <w:t>个，分别为：</w:t>
      </w:r>
      <w:r>
        <w:rPr>
          <w:rFonts w:hint="eastAsia" w:ascii="仿宋_GB2312" w:eastAsia="仿宋_GB2312" w:cs="仿宋_GB2312"/>
          <w:color w:val="4C4C4C"/>
          <w:sz w:val="31"/>
          <w:szCs w:val="31"/>
        </w:rPr>
        <w:t>办公室</w:t>
      </w:r>
      <w:r>
        <w:rPr>
          <w:rFonts w:hint="eastAsia" w:ascii="仿宋_GB2312" w:eastAsia="仿宋_GB2312" w:cs="仿宋_GB2312"/>
          <w:color w:val="4C4C4C"/>
          <w:sz w:val="31"/>
          <w:szCs w:val="31"/>
          <w:lang w:eastAsia="zh-CN"/>
        </w:rPr>
        <w:t>、</w:t>
      </w:r>
      <w:r>
        <w:rPr>
          <w:rFonts w:hint="eastAsia" w:ascii="仿宋_GB2312" w:eastAsia="仿宋_GB2312" w:cs="仿宋_GB2312"/>
          <w:color w:val="4C4C4C"/>
          <w:sz w:val="31"/>
          <w:szCs w:val="31"/>
        </w:rPr>
        <w:t>综合协调组</w:t>
      </w:r>
      <w:r>
        <w:rPr>
          <w:rFonts w:hint="eastAsia" w:ascii="仿宋_GB2312" w:eastAsia="仿宋_GB2312" w:cs="仿宋_GB2312"/>
          <w:color w:val="4C4C4C"/>
          <w:sz w:val="31"/>
          <w:szCs w:val="31"/>
          <w:lang w:eastAsia="zh-CN"/>
        </w:rPr>
        <w:t>、</w:t>
      </w:r>
      <w:r>
        <w:rPr>
          <w:rFonts w:hint="eastAsia" w:ascii="仿宋_GB2312" w:eastAsia="仿宋_GB2312" w:cs="仿宋_GB2312"/>
          <w:color w:val="4C4C4C"/>
          <w:sz w:val="31"/>
          <w:szCs w:val="31"/>
        </w:rPr>
        <w:t>平台调度组</w:t>
      </w:r>
      <w:r>
        <w:rPr>
          <w:rFonts w:hint="eastAsia" w:ascii="仿宋_GB2312" w:eastAsia="仿宋_GB2312" w:cs="仿宋_GB2312"/>
          <w:color w:val="4C4C4C"/>
          <w:sz w:val="31"/>
          <w:szCs w:val="31"/>
          <w:lang w:eastAsia="zh-CN"/>
        </w:rPr>
        <w:t>、</w:t>
      </w:r>
      <w:r>
        <w:rPr>
          <w:rFonts w:hint="eastAsia" w:ascii="仿宋_GB2312" w:eastAsia="仿宋_GB2312" w:cs="仿宋_GB2312"/>
          <w:color w:val="4C4C4C"/>
          <w:sz w:val="31"/>
          <w:szCs w:val="31"/>
        </w:rPr>
        <w:t>督评事务组</w:t>
      </w:r>
      <w:r>
        <w:rPr>
          <w:rFonts w:hint="eastAsia" w:ascii="仿宋_GB2312" w:eastAsia="仿宋_GB2312" w:cs="仿宋_GB2312"/>
          <w:color w:val="4C4C4C"/>
          <w:sz w:val="31"/>
          <w:szCs w:val="31"/>
          <w:lang w:eastAsia="zh-CN"/>
        </w:rPr>
        <w:t>。</w:t>
      </w:r>
      <w:r>
        <w:rPr>
          <w:rFonts w:hint="eastAsia" w:eastAsia="仿宋_GB2312"/>
          <w:color w:val="000000"/>
          <w:sz w:val="32"/>
          <w:szCs w:val="32"/>
          <w:lang w:val="en-US" w:eastAsia="zh-CN"/>
        </w:rPr>
        <w:t>无</w:t>
      </w:r>
      <w:r>
        <w:rPr>
          <w:rFonts w:eastAsia="仿宋_GB2312"/>
          <w:color w:val="000000"/>
          <w:sz w:val="32"/>
          <w:szCs w:val="32"/>
        </w:rPr>
        <w:t>下属二级预算单位</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2021年部门预算编报范围包括机关</w:t>
      </w:r>
      <w:r>
        <w:rPr>
          <w:rFonts w:hint="eastAsia" w:eastAsia="仿宋_GB2312"/>
          <w:color w:val="000000"/>
          <w:sz w:val="32"/>
          <w:szCs w:val="32"/>
          <w:lang w:eastAsia="zh-CN"/>
        </w:rPr>
        <w:t>，</w:t>
      </w:r>
      <w:r>
        <w:rPr>
          <w:rFonts w:eastAsia="仿宋_GB2312"/>
          <w:color w:val="000000"/>
          <w:sz w:val="32"/>
          <w:szCs w:val="32"/>
        </w:rPr>
        <w:t>无下属二级预算单位。收入包括一般公共预算收入、政府性基金收入、事业单位经营服务等收入；支出既包括保障局机关及直属单位基本运行的经费，也包括归口管理、面向全市分配的专项经费。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1951.91</w:t>
      </w:r>
      <w:r>
        <w:rPr>
          <w:rFonts w:eastAsia="仿宋_GB2312"/>
          <w:color w:val="000000"/>
          <w:sz w:val="32"/>
          <w:szCs w:val="32"/>
        </w:rPr>
        <w:t>万元，其中，一般公共预算拨款</w:t>
      </w:r>
      <w:r>
        <w:rPr>
          <w:rFonts w:hint="eastAsia" w:eastAsia="仿宋_GB2312"/>
          <w:color w:val="000000"/>
          <w:sz w:val="32"/>
          <w:szCs w:val="32"/>
          <w:lang w:val="en-US" w:eastAsia="zh-CN"/>
        </w:rPr>
        <w:t>1951.91</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1951.91</w:t>
      </w:r>
      <w:r>
        <w:rPr>
          <w:rFonts w:eastAsia="仿宋_GB2312"/>
          <w:color w:val="000000"/>
          <w:sz w:val="32"/>
          <w:szCs w:val="32"/>
        </w:rPr>
        <w:t>万元，其中，一般公共服务支出</w:t>
      </w:r>
      <w:r>
        <w:rPr>
          <w:rFonts w:hint="eastAsia" w:eastAsia="仿宋_GB2312"/>
          <w:color w:val="000000"/>
          <w:sz w:val="32"/>
          <w:szCs w:val="32"/>
        </w:rPr>
        <w:t>1946.56</w:t>
      </w:r>
      <w:r>
        <w:rPr>
          <w:rFonts w:eastAsia="仿宋_GB2312"/>
          <w:color w:val="000000"/>
          <w:sz w:val="32"/>
          <w:szCs w:val="32"/>
        </w:rPr>
        <w:t>万元，</w:t>
      </w:r>
      <w:r>
        <w:rPr>
          <w:rFonts w:hint="eastAsia" w:eastAsia="仿宋_GB2312"/>
          <w:color w:val="000000"/>
          <w:sz w:val="32"/>
          <w:szCs w:val="32"/>
          <w:lang w:val="en-US" w:eastAsia="zh-CN"/>
        </w:rPr>
        <w:t>卫生健康支出</w:t>
      </w:r>
      <w:r>
        <w:rPr>
          <w:rFonts w:hint="eastAsia" w:eastAsia="仿宋_GB2312"/>
          <w:color w:val="000000"/>
          <w:sz w:val="32"/>
          <w:szCs w:val="32"/>
        </w:rPr>
        <w:t>5.35</w:t>
      </w:r>
      <w:r>
        <w:rPr>
          <w:rFonts w:hint="eastAsia" w:eastAsia="仿宋_GB2312"/>
          <w:color w:val="000000"/>
          <w:sz w:val="32"/>
          <w:szCs w:val="32"/>
          <w:lang w:val="en-US" w:eastAsia="zh-CN"/>
        </w:rPr>
        <w:t>万元。</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themeColor="text1"/>
          <w:sz w:val="32"/>
          <w:szCs w:val="32"/>
          <w14:textFill>
            <w14:solidFill>
              <w14:schemeClr w14:val="tx1"/>
            </w14:solidFill>
          </w14:textFill>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1801.91</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w:t>
      </w:r>
      <w:r>
        <w:rPr>
          <w:rFonts w:hint="eastAsia" w:eastAsia="仿宋_GB2312"/>
          <w:color w:val="000000" w:themeColor="text1"/>
          <w:sz w:val="32"/>
          <w:szCs w:val="32"/>
          <w14:textFill>
            <w14:solidFill>
              <w14:schemeClr w14:val="tx1"/>
            </w14:solidFill>
          </w14:textFill>
        </w:rPr>
        <w:t>项</w:t>
      </w:r>
      <w:r>
        <w:rPr>
          <w:rFonts w:eastAsia="仿宋_GB2312"/>
          <w:color w:val="000000" w:themeColor="text1"/>
          <w:sz w:val="32"/>
          <w:szCs w:val="32"/>
          <w14:textFill>
            <w14:solidFill>
              <w14:schemeClr w14:val="tx1"/>
            </w14:solidFill>
          </w14:textFill>
        </w:rPr>
        <w:t>。其中包括</w:t>
      </w:r>
      <w:r>
        <w:rPr>
          <w:rFonts w:hint="eastAsia" w:eastAsia="仿宋_GB2312"/>
          <w:color w:val="000000" w:themeColor="text1"/>
          <w:sz w:val="32"/>
          <w:szCs w:val="32"/>
          <w14:textFill>
            <w14:solidFill>
              <w14:schemeClr w14:val="tx1"/>
            </w14:solidFill>
          </w14:textFill>
        </w:rPr>
        <w:t>工资福利支出1376.48</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14:textFill>
            <w14:solidFill>
              <w14:schemeClr w14:val="tx1"/>
            </w14:solidFill>
          </w14:textFill>
        </w:rPr>
        <w:t>一般商品和服务支出10.43</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14:textFill>
            <w14:solidFill>
              <w14:schemeClr w14:val="tx1"/>
            </w14:solidFill>
          </w14:textFill>
        </w:rPr>
        <w:t>工作性专项415</w:t>
      </w:r>
      <w:r>
        <w:rPr>
          <w:rFonts w:eastAsia="仿宋_GB2312"/>
          <w:color w:val="000000" w:themeColor="text1"/>
          <w:sz w:val="32"/>
          <w:szCs w:val="32"/>
          <w14:textFill>
            <w14:solidFill>
              <w14:schemeClr w14:val="tx1"/>
            </w14:solidFill>
          </w14:textFill>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150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lang w:val="en-US" w:eastAsia="zh-CN"/>
        </w:rPr>
        <w:t>人民网全国创新社会治理</w:t>
      </w:r>
      <w:r>
        <w:rPr>
          <w:rFonts w:eastAsia="仿宋_GB2312"/>
          <w:color w:val="000000"/>
          <w:sz w:val="32"/>
          <w:szCs w:val="32"/>
        </w:rPr>
        <w:t xml:space="preserve">专项 </w:t>
      </w:r>
      <w:r>
        <w:rPr>
          <w:rFonts w:hint="eastAsia" w:eastAsia="仿宋_GB2312"/>
          <w:color w:val="000000"/>
          <w:sz w:val="32"/>
          <w:szCs w:val="32"/>
          <w:lang w:val="en-US" w:eastAsia="zh-CN"/>
        </w:rPr>
        <w:t>150</w:t>
      </w:r>
      <w:r>
        <w:rPr>
          <w:rFonts w:eastAsia="仿宋_GB2312"/>
          <w:color w:val="000000"/>
          <w:sz w:val="32"/>
          <w:szCs w:val="32"/>
        </w:rPr>
        <w:t xml:space="preserve"> 万元。主要用于</w:t>
      </w:r>
      <w:r>
        <w:rPr>
          <w:rFonts w:hint="eastAsia" w:eastAsia="仿宋_GB2312"/>
          <w:color w:val="000000"/>
          <w:sz w:val="32"/>
          <w:szCs w:val="32"/>
        </w:rPr>
        <w:t>人民网2021年全国创新社会治理典型案例颁奖暨经验交流会</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1951.91</w:t>
      </w:r>
      <w:r>
        <w:rPr>
          <w:rFonts w:eastAsia="仿宋_GB2312"/>
          <w:color w:val="000000"/>
          <w:sz w:val="32"/>
          <w:szCs w:val="32"/>
        </w:rPr>
        <w:t>万</w:t>
      </w:r>
      <w:r>
        <w:rPr>
          <w:rFonts w:eastAsia="仿宋_GB2312"/>
          <w:color w:val="000000" w:themeColor="text1"/>
          <w:sz w:val="32"/>
          <w:szCs w:val="32"/>
          <w14:textFill>
            <w14:solidFill>
              <w14:schemeClr w14:val="tx1"/>
            </w14:solidFill>
          </w14:textFill>
        </w:rPr>
        <w:t>元，比上年增加</w:t>
      </w:r>
      <w:r>
        <w:rPr>
          <w:rFonts w:hint="eastAsia" w:eastAsia="仿宋_GB2312"/>
          <w:color w:val="000000" w:themeColor="text1"/>
          <w:sz w:val="32"/>
          <w:szCs w:val="32"/>
          <w:lang w:val="en-US" w:eastAsia="zh-CN"/>
          <w14:textFill>
            <w14:solidFill>
              <w14:schemeClr w14:val="tx1"/>
            </w14:solidFill>
          </w14:textFill>
        </w:rPr>
        <w:t>561.4</w:t>
      </w:r>
      <w:r>
        <w:rPr>
          <w:rFonts w:eastAsia="仿宋_GB2312"/>
          <w:color w:val="000000" w:themeColor="text1"/>
          <w:sz w:val="32"/>
          <w:szCs w:val="32"/>
          <w14:textFill>
            <w14:solidFill>
              <w14:schemeClr w14:val="tx1"/>
            </w14:solidFill>
          </w14:textFill>
        </w:rPr>
        <w:t>万元，主要原因</w:t>
      </w:r>
      <w:r>
        <w:rPr>
          <w:rFonts w:hint="eastAsia" w:eastAsia="仿宋_GB2312"/>
          <w:color w:val="000000" w:themeColor="text1"/>
          <w:sz w:val="32"/>
          <w:szCs w:val="32"/>
          <w:lang w:eastAsia="zh-CN"/>
          <w14:textFill>
            <w14:solidFill>
              <w14:schemeClr w14:val="tx1"/>
            </w14:solidFill>
          </w14:textFill>
        </w:rPr>
        <w:t>其一</w:t>
      </w:r>
      <w:r>
        <w:rPr>
          <w:rFonts w:eastAsia="仿宋_GB2312"/>
          <w:color w:val="000000" w:themeColor="text1"/>
          <w:sz w:val="32"/>
          <w:szCs w:val="32"/>
          <w14:textFill>
            <w14:solidFill>
              <w14:schemeClr w14:val="tx1"/>
            </w14:solidFill>
          </w14:textFill>
        </w:rPr>
        <w:t>是</w:t>
      </w:r>
      <w:r>
        <w:rPr>
          <w:rFonts w:hint="eastAsia" w:eastAsia="仿宋_GB2312"/>
          <w:color w:val="000000" w:themeColor="text1"/>
          <w:sz w:val="32"/>
          <w:szCs w:val="32"/>
          <w:lang w:val="en-US" w:eastAsia="zh-CN"/>
          <w14:textFill>
            <w14:solidFill>
              <w14:schemeClr w14:val="tx1"/>
            </w14:solidFill>
          </w14:textFill>
        </w:rPr>
        <w:t>新增一个重点专项人民网全国创新社会治理150</w:t>
      </w:r>
      <w:r>
        <w:rPr>
          <w:rFonts w:hint="eastAsia" w:eastAsia="仿宋_GB2312"/>
          <w:color w:val="000000"/>
          <w:sz w:val="32"/>
          <w:szCs w:val="32"/>
          <w:lang w:val="en-US" w:eastAsia="zh-CN"/>
        </w:rPr>
        <w:t>万元，</w:t>
      </w:r>
      <w:r>
        <w:rPr>
          <w:rFonts w:eastAsia="仿宋_GB2312"/>
          <w:color w:val="000000"/>
          <w:sz w:val="32"/>
          <w:szCs w:val="32"/>
        </w:rPr>
        <w:t>主要用于</w:t>
      </w:r>
      <w:r>
        <w:rPr>
          <w:rFonts w:hint="eastAsia" w:eastAsia="仿宋_GB2312"/>
          <w:color w:val="000000"/>
          <w:sz w:val="32"/>
          <w:szCs w:val="32"/>
        </w:rPr>
        <w:t>人民网2021年全国创新社会治理典型案例颁奖暨经验交流会</w:t>
      </w:r>
      <w:r>
        <w:rPr>
          <w:rFonts w:hint="eastAsia" w:eastAsia="仿宋_GB2312"/>
          <w:color w:val="000000"/>
          <w:sz w:val="32"/>
          <w:szCs w:val="32"/>
          <w:lang w:eastAsia="zh-CN"/>
        </w:rPr>
        <w:t>；其二是上年年初预算中未包含公用</w:t>
      </w:r>
      <w:r>
        <w:rPr>
          <w:rFonts w:hint="eastAsia" w:eastAsia="仿宋_GB2312"/>
          <w:color w:val="000000"/>
          <w:sz w:val="32"/>
          <w:szCs w:val="32"/>
        </w:rPr>
        <w:t>经费</w:t>
      </w:r>
      <w:r>
        <w:rPr>
          <w:rFonts w:hint="eastAsia" w:eastAsia="仿宋_GB2312"/>
          <w:color w:val="000000"/>
          <w:sz w:val="32"/>
          <w:szCs w:val="32"/>
          <w:lang w:val="en-US" w:eastAsia="zh-CN"/>
        </w:rPr>
        <w:t>415.45</w:t>
      </w:r>
      <w:r>
        <w:rPr>
          <w:rFonts w:hint="eastAsia" w:eastAsia="仿宋_GB2312"/>
          <w:color w:val="000000"/>
          <w:sz w:val="32"/>
          <w:szCs w:val="32"/>
        </w:rPr>
        <w:t>万元</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auto"/>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themeColor="text1"/>
          <w:sz w:val="32"/>
          <w:szCs w:val="32"/>
          <w14:textFill>
            <w14:solidFill>
              <w14:schemeClr w14:val="tx1"/>
            </w14:solidFill>
          </w14:textFill>
        </w:rPr>
        <w:t>专项)共安排</w:t>
      </w:r>
      <w:r>
        <w:rPr>
          <w:rFonts w:hint="eastAsia" w:eastAsia="仿宋_GB2312"/>
          <w:color w:val="000000" w:themeColor="text1"/>
          <w:sz w:val="32"/>
          <w:szCs w:val="32"/>
          <w:lang w:val="en-US" w:eastAsia="zh-CN"/>
          <w14:textFill>
            <w14:solidFill>
              <w14:schemeClr w14:val="tx1"/>
            </w14:solidFill>
          </w14:textFill>
        </w:rPr>
        <w:t>425.43</w:t>
      </w:r>
      <w:r>
        <w:rPr>
          <w:rFonts w:eastAsia="仿宋_GB2312"/>
          <w:color w:val="000000" w:themeColor="text1"/>
          <w:sz w:val="32"/>
          <w:szCs w:val="32"/>
          <w14:textFill>
            <w14:solidFill>
              <w14:schemeClr w14:val="tx1"/>
            </w14:solidFill>
          </w14:textFill>
        </w:rPr>
        <w:t>万元</w:t>
      </w:r>
      <w:r>
        <w:rPr>
          <w:rFonts w:eastAsia="仿宋_GB2312"/>
          <w:color w:val="000000"/>
          <w:sz w:val="32"/>
          <w:szCs w:val="32"/>
        </w:rPr>
        <w:t>，</w:t>
      </w:r>
      <w:r>
        <w:rPr>
          <w:rFonts w:eastAsia="仿宋_GB2312"/>
          <w:color w:val="auto"/>
          <w:sz w:val="32"/>
          <w:szCs w:val="32"/>
        </w:rPr>
        <w:t>比上年度预算</w:t>
      </w:r>
      <w:r>
        <w:rPr>
          <w:rFonts w:hint="eastAsia" w:eastAsia="仿宋_GB2312"/>
          <w:color w:val="auto"/>
          <w:sz w:val="32"/>
          <w:szCs w:val="32"/>
          <w:lang w:eastAsia="zh-CN"/>
        </w:rPr>
        <w:t>增加</w:t>
      </w:r>
      <w:r>
        <w:rPr>
          <w:rFonts w:hint="eastAsia" w:eastAsia="仿宋_GB2312"/>
          <w:color w:val="auto"/>
          <w:sz w:val="32"/>
          <w:szCs w:val="32"/>
          <w:lang w:val="en-US" w:eastAsia="zh-CN"/>
        </w:rPr>
        <w:t>415.45</w:t>
      </w:r>
      <w:r>
        <w:rPr>
          <w:rFonts w:eastAsia="仿宋_GB2312"/>
          <w:color w:val="auto"/>
          <w:sz w:val="32"/>
          <w:szCs w:val="32"/>
        </w:rPr>
        <w:t>万元，</w:t>
      </w:r>
      <w:r>
        <w:rPr>
          <w:rFonts w:eastAsia="仿宋_GB2312"/>
          <w:bCs/>
          <w:color w:val="auto"/>
          <w:sz w:val="32"/>
          <w:szCs w:val="32"/>
        </w:rPr>
        <w:t>减少的主要原因是</w:t>
      </w:r>
      <w:r>
        <w:rPr>
          <w:rFonts w:hint="eastAsia" w:eastAsia="仿宋_GB2312"/>
          <w:color w:val="auto"/>
          <w:sz w:val="32"/>
          <w:szCs w:val="32"/>
          <w:lang w:eastAsia="zh-CN"/>
        </w:rPr>
        <w:t>上年年初预算中未包含公用</w:t>
      </w:r>
      <w:r>
        <w:rPr>
          <w:rFonts w:hint="eastAsia" w:eastAsia="仿宋_GB2312"/>
          <w:color w:val="auto"/>
          <w:sz w:val="32"/>
          <w:szCs w:val="32"/>
        </w:rPr>
        <w:t>经费</w:t>
      </w:r>
      <w:r>
        <w:rPr>
          <w:rFonts w:hint="eastAsia" w:eastAsia="仿宋_GB2312"/>
          <w:color w:val="auto"/>
          <w:sz w:val="32"/>
          <w:szCs w:val="32"/>
          <w:lang w:val="en-US" w:eastAsia="zh-CN"/>
        </w:rPr>
        <w:t>415.45</w:t>
      </w:r>
      <w:r>
        <w:rPr>
          <w:rFonts w:hint="eastAsia" w:eastAsia="仿宋_GB2312"/>
          <w:color w:val="auto"/>
          <w:sz w:val="32"/>
          <w:szCs w:val="32"/>
        </w:rPr>
        <w:t>万元</w:t>
      </w:r>
      <w:r>
        <w:rPr>
          <w:rFonts w:hint="eastAsia" w:eastAsia="仿宋_GB2312"/>
          <w:color w:val="auto"/>
          <w:sz w:val="32"/>
          <w:szCs w:val="32"/>
          <w:lang w:eastAsia="zh-CN"/>
        </w:rPr>
        <w:t>。</w:t>
      </w:r>
    </w:p>
    <w:p>
      <w:pPr>
        <w:tabs>
          <w:tab w:val="left" w:pos="7560"/>
        </w:tabs>
        <w:adjustRightInd w:val="0"/>
        <w:snapToGrid w:val="0"/>
        <w:spacing w:line="560" w:lineRule="exact"/>
        <w:ind w:firstLine="640" w:firstLineChars="200"/>
        <w:jc w:val="left"/>
        <w:rPr>
          <w:rFonts w:eastAsia="仿宋_GB2312"/>
          <w:color w:val="auto"/>
          <w:sz w:val="32"/>
          <w:szCs w:val="32"/>
        </w:rPr>
      </w:pPr>
      <w:r>
        <w:rPr>
          <w:rFonts w:eastAsia="楷体_GB2312"/>
          <w:bCs/>
          <w:color w:val="auto"/>
          <w:sz w:val="32"/>
          <w:szCs w:val="32"/>
        </w:rPr>
        <w:t>（二)政府采购预算：</w:t>
      </w:r>
      <w:r>
        <w:rPr>
          <w:rFonts w:hint="eastAsia" w:eastAsia="仿宋_GB2312"/>
          <w:color w:val="auto"/>
          <w:sz w:val="32"/>
          <w:szCs w:val="32"/>
        </w:rPr>
        <w:t>2021</w:t>
      </w:r>
      <w:r>
        <w:rPr>
          <w:rFonts w:eastAsia="仿宋_GB2312"/>
          <w:color w:val="auto"/>
          <w:sz w:val="32"/>
          <w:szCs w:val="32"/>
        </w:rPr>
        <w:t>年年初预算数为</w:t>
      </w:r>
      <w:r>
        <w:rPr>
          <w:rFonts w:hint="eastAsia" w:eastAsia="仿宋_GB2312"/>
          <w:color w:val="auto"/>
          <w:sz w:val="32"/>
          <w:szCs w:val="32"/>
          <w:lang w:val="en-US" w:eastAsia="zh-CN"/>
        </w:rPr>
        <w:t>348.43</w:t>
      </w:r>
      <w:r>
        <w:rPr>
          <w:rFonts w:eastAsia="仿宋_GB2312"/>
          <w:color w:val="auto"/>
          <w:sz w:val="32"/>
          <w:szCs w:val="32"/>
        </w:rPr>
        <w:t>万元。包含：</w:t>
      </w:r>
      <w:r>
        <w:rPr>
          <w:rFonts w:hint="eastAsia" w:eastAsia="仿宋_GB2312"/>
          <w:color w:val="auto"/>
          <w:sz w:val="32"/>
          <w:szCs w:val="32"/>
        </w:rPr>
        <w:t>政府采购货物</w:t>
      </w:r>
      <w:r>
        <w:rPr>
          <w:rFonts w:hint="eastAsia" w:eastAsia="仿宋_GB2312"/>
          <w:color w:val="auto"/>
          <w:sz w:val="32"/>
          <w:szCs w:val="32"/>
          <w:lang w:val="en-US" w:eastAsia="zh-CN"/>
        </w:rPr>
        <w:t>128.43</w:t>
      </w:r>
      <w:r>
        <w:rPr>
          <w:rFonts w:hint="eastAsia" w:eastAsia="仿宋_GB2312"/>
          <w:color w:val="auto"/>
          <w:sz w:val="32"/>
          <w:szCs w:val="32"/>
        </w:rPr>
        <w:t>万元、政府采购服务</w:t>
      </w:r>
      <w:r>
        <w:rPr>
          <w:rFonts w:hint="eastAsia" w:eastAsia="仿宋_GB2312"/>
          <w:color w:val="auto"/>
          <w:sz w:val="32"/>
          <w:szCs w:val="32"/>
          <w:lang w:val="en-US" w:eastAsia="zh-CN"/>
        </w:rPr>
        <w:t>220</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政府采购</w:t>
      </w:r>
      <w:r>
        <w:rPr>
          <w:rFonts w:hint="eastAsia" w:eastAsia="仿宋_GB2312"/>
          <w:color w:val="auto"/>
          <w:sz w:val="32"/>
          <w:szCs w:val="32"/>
          <w:lang w:val="en-US" w:eastAsia="zh-CN"/>
        </w:rPr>
        <w:t>工程</w:t>
      </w:r>
      <w:bookmarkStart w:id="0" w:name="_GoBack"/>
      <w:bookmarkEnd w:id="0"/>
      <w:r>
        <w:rPr>
          <w:rFonts w:hint="eastAsia" w:eastAsia="仿宋_GB2312"/>
          <w:color w:val="auto"/>
          <w:sz w:val="32"/>
          <w:szCs w:val="32"/>
          <w:lang w:val="en-US" w:eastAsia="zh-CN"/>
        </w:rPr>
        <w:t>0</w:t>
      </w:r>
      <w:r>
        <w:rPr>
          <w:rFonts w:hint="eastAsia" w:eastAsia="仿宋_GB2312"/>
          <w:color w:val="auto"/>
          <w:sz w:val="32"/>
          <w:szCs w:val="32"/>
        </w:rPr>
        <w:t>万元。</w:t>
      </w:r>
    </w:p>
    <w:p>
      <w:pPr>
        <w:tabs>
          <w:tab w:val="left" w:pos="7560"/>
        </w:tabs>
        <w:adjustRightInd w:val="0"/>
        <w:snapToGrid w:val="0"/>
        <w:spacing w:line="560" w:lineRule="exact"/>
        <w:ind w:firstLine="640" w:firstLineChars="200"/>
        <w:jc w:val="left"/>
        <w:rPr>
          <w:rFonts w:eastAsia="仿宋_GB2312"/>
          <w:color w:val="auto"/>
          <w:sz w:val="32"/>
          <w:szCs w:val="32"/>
        </w:rPr>
      </w:pPr>
      <w:r>
        <w:rPr>
          <w:rFonts w:eastAsia="楷体_GB2312"/>
          <w:bCs/>
          <w:color w:val="auto"/>
          <w:sz w:val="32"/>
          <w:szCs w:val="32"/>
        </w:rPr>
        <w:t>（三）国有资产占有情况：</w:t>
      </w:r>
      <w:r>
        <w:rPr>
          <w:rFonts w:eastAsia="仿宋_GB2312"/>
          <w:color w:val="auto"/>
          <w:sz w:val="32"/>
          <w:szCs w:val="32"/>
        </w:rPr>
        <w:t>截止20</w:t>
      </w:r>
      <w:r>
        <w:rPr>
          <w:rFonts w:hint="eastAsia" w:eastAsia="仿宋_GB2312"/>
          <w:color w:val="auto"/>
          <w:sz w:val="32"/>
          <w:szCs w:val="32"/>
        </w:rPr>
        <w:t>20</w:t>
      </w:r>
      <w:r>
        <w:rPr>
          <w:rFonts w:eastAsia="仿宋_GB2312"/>
          <w:color w:val="auto"/>
          <w:sz w:val="32"/>
          <w:szCs w:val="32"/>
        </w:rPr>
        <w:t xml:space="preserve">年12月31日，本部门共有办公及业务用房 </w:t>
      </w:r>
      <w:r>
        <w:rPr>
          <w:rFonts w:hint="eastAsia" w:eastAsia="仿宋_GB2312"/>
          <w:color w:val="auto"/>
          <w:sz w:val="32"/>
          <w:szCs w:val="32"/>
          <w:lang w:val="en-US" w:eastAsia="zh-CN"/>
        </w:rPr>
        <w:t>1200</w:t>
      </w:r>
      <w:r>
        <w:rPr>
          <w:rFonts w:eastAsia="仿宋_GB2312"/>
          <w:color w:val="auto"/>
          <w:sz w:val="32"/>
          <w:szCs w:val="32"/>
        </w:rPr>
        <w:t xml:space="preserve"> 平方米；车辆</w:t>
      </w:r>
      <w:r>
        <w:rPr>
          <w:rFonts w:hint="eastAsia" w:eastAsia="仿宋_GB2312"/>
          <w:color w:val="auto"/>
          <w:sz w:val="32"/>
          <w:szCs w:val="32"/>
          <w:lang w:val="en-US" w:eastAsia="zh-CN"/>
        </w:rPr>
        <w:t>0</w:t>
      </w:r>
      <w:r>
        <w:rPr>
          <w:rFonts w:eastAsia="仿宋_GB2312"/>
          <w:color w:val="auto"/>
          <w:sz w:val="32"/>
          <w:szCs w:val="32"/>
        </w:rPr>
        <w:t xml:space="preserve">  辆；单位价值200万以上大型设备 </w:t>
      </w:r>
      <w:r>
        <w:rPr>
          <w:rFonts w:hint="eastAsia" w:eastAsia="仿宋_GB2312"/>
          <w:color w:val="auto"/>
          <w:sz w:val="32"/>
          <w:szCs w:val="32"/>
          <w:lang w:val="en-US" w:eastAsia="zh-CN"/>
        </w:rPr>
        <w:t>0</w:t>
      </w:r>
      <w:r>
        <w:rPr>
          <w:rFonts w:eastAsia="仿宋_GB2312"/>
          <w:color w:val="auto"/>
          <w:sz w:val="32"/>
          <w:szCs w:val="32"/>
        </w:rPr>
        <w:t>套。</w:t>
      </w:r>
    </w:p>
    <w:p>
      <w:pPr>
        <w:tabs>
          <w:tab w:val="left" w:pos="7560"/>
        </w:tabs>
        <w:adjustRightInd w:val="0"/>
        <w:snapToGrid w:val="0"/>
        <w:spacing w:line="560" w:lineRule="exact"/>
        <w:ind w:firstLine="640" w:firstLineChars="200"/>
        <w:jc w:val="left"/>
        <w:rPr>
          <w:rFonts w:eastAsia="仿宋_GB2312"/>
          <w:b/>
          <w:bCs/>
          <w:color w:val="auto"/>
          <w:sz w:val="32"/>
          <w:szCs w:val="32"/>
        </w:rPr>
      </w:pPr>
      <w:r>
        <w:rPr>
          <w:rFonts w:eastAsia="楷体_GB2312"/>
          <w:bCs/>
          <w:color w:val="auto"/>
          <w:sz w:val="32"/>
          <w:szCs w:val="32"/>
        </w:rPr>
        <w:t>（四）预算绩效目标：</w:t>
      </w:r>
      <w:r>
        <w:rPr>
          <w:rFonts w:eastAsia="仿宋_GB2312"/>
          <w:color w:val="auto"/>
          <w:sz w:val="32"/>
          <w:szCs w:val="32"/>
        </w:rPr>
        <w:t>本部门整体支出和项目支出实行绩效目标管理，纳入20</w:t>
      </w:r>
      <w:r>
        <w:rPr>
          <w:rFonts w:hint="eastAsia" w:eastAsia="仿宋_GB2312"/>
          <w:color w:val="auto"/>
          <w:sz w:val="32"/>
          <w:szCs w:val="32"/>
        </w:rPr>
        <w:t>21</w:t>
      </w:r>
      <w:r>
        <w:rPr>
          <w:rFonts w:eastAsia="仿宋_GB2312"/>
          <w:color w:val="auto"/>
          <w:sz w:val="32"/>
          <w:szCs w:val="32"/>
        </w:rPr>
        <w:t xml:space="preserve">年部门整体支出绩效目标的金额为 </w:t>
      </w:r>
      <w:r>
        <w:rPr>
          <w:rFonts w:hint="eastAsia" w:eastAsia="仿宋_GB2312"/>
          <w:color w:val="auto"/>
          <w:sz w:val="32"/>
          <w:szCs w:val="32"/>
        </w:rPr>
        <w:t>1951.91</w:t>
      </w:r>
      <w:r>
        <w:rPr>
          <w:rFonts w:eastAsia="仿宋_GB2312"/>
          <w:color w:val="auto"/>
          <w:sz w:val="32"/>
          <w:szCs w:val="32"/>
        </w:rPr>
        <w:t>万元，其中，基本支出</w:t>
      </w:r>
      <w:r>
        <w:rPr>
          <w:rFonts w:hint="eastAsia" w:eastAsia="仿宋_GB2312"/>
          <w:color w:val="auto"/>
          <w:sz w:val="32"/>
          <w:szCs w:val="32"/>
        </w:rPr>
        <w:t>1801.91</w:t>
      </w:r>
      <w:r>
        <w:rPr>
          <w:rFonts w:eastAsia="仿宋_GB2312"/>
          <w:color w:val="auto"/>
          <w:sz w:val="32"/>
          <w:szCs w:val="32"/>
        </w:rPr>
        <w:t>万元，项</w:t>
      </w:r>
      <w:r>
        <w:rPr>
          <w:rFonts w:hint="eastAsia" w:eastAsia="仿宋_GB2312"/>
          <w:color w:val="auto"/>
          <w:sz w:val="32"/>
          <w:szCs w:val="32"/>
          <w:lang w:val="en-US" w:eastAsia="zh-CN"/>
        </w:rPr>
        <w:t>目</w:t>
      </w:r>
      <w:r>
        <w:rPr>
          <w:rFonts w:eastAsia="仿宋_GB2312"/>
          <w:color w:val="auto"/>
          <w:sz w:val="32"/>
          <w:szCs w:val="32"/>
        </w:rPr>
        <w:t>支出</w:t>
      </w:r>
      <w:r>
        <w:rPr>
          <w:rFonts w:hint="eastAsia" w:eastAsia="仿宋_GB2312"/>
          <w:color w:val="auto"/>
          <w:sz w:val="32"/>
          <w:szCs w:val="32"/>
          <w:lang w:val="en-US" w:eastAsia="zh-CN"/>
        </w:rPr>
        <w:t>150</w:t>
      </w:r>
      <w:r>
        <w:rPr>
          <w:rFonts w:eastAsia="仿宋_GB2312"/>
          <w:color w:val="auto"/>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auto"/>
          <w:sz w:val="32"/>
          <w:szCs w:val="32"/>
        </w:rPr>
      </w:pPr>
      <w:r>
        <w:rPr>
          <w:rFonts w:eastAsia="楷体_GB2312"/>
          <w:bCs/>
          <w:color w:val="auto"/>
          <w:sz w:val="32"/>
          <w:szCs w:val="32"/>
        </w:rPr>
        <w:t>（五）“三公”经费预算：</w:t>
      </w:r>
    </w:p>
    <w:p>
      <w:pPr>
        <w:tabs>
          <w:tab w:val="left" w:pos="7560"/>
        </w:tabs>
        <w:adjustRightInd w:val="0"/>
        <w:snapToGrid w:val="0"/>
        <w:spacing w:line="560" w:lineRule="exact"/>
        <w:ind w:firstLine="640" w:firstLineChars="200"/>
        <w:jc w:val="left"/>
        <w:rPr>
          <w:rFonts w:hint="eastAsia" w:eastAsia="仿宋_GB2312"/>
          <w:b/>
          <w:bCs/>
          <w:color w:val="auto"/>
          <w:sz w:val="32"/>
          <w:szCs w:val="32"/>
          <w:lang w:eastAsia="zh-CN"/>
        </w:rPr>
      </w:pPr>
      <w:r>
        <w:rPr>
          <w:rFonts w:eastAsia="仿宋_GB2312"/>
          <w:color w:val="auto"/>
          <w:sz w:val="32"/>
          <w:szCs w:val="32"/>
        </w:rPr>
        <w:t>20</w:t>
      </w:r>
      <w:r>
        <w:rPr>
          <w:rFonts w:hint="eastAsia" w:eastAsia="仿宋_GB2312"/>
          <w:color w:val="auto"/>
          <w:sz w:val="32"/>
          <w:szCs w:val="32"/>
        </w:rPr>
        <w:t>21</w:t>
      </w:r>
      <w:r>
        <w:rPr>
          <w:rFonts w:eastAsia="仿宋_GB2312"/>
          <w:color w:val="auto"/>
          <w:sz w:val="32"/>
          <w:szCs w:val="32"/>
        </w:rPr>
        <w:t>年“三公”经费预算数</w:t>
      </w:r>
      <w:r>
        <w:rPr>
          <w:rFonts w:hint="eastAsia" w:eastAsia="仿宋_GB2312"/>
          <w:color w:val="auto"/>
          <w:sz w:val="32"/>
          <w:szCs w:val="32"/>
          <w:lang w:val="en-US" w:eastAsia="zh-CN"/>
        </w:rPr>
        <w:t>5</w:t>
      </w:r>
      <w:r>
        <w:rPr>
          <w:rFonts w:eastAsia="仿宋_GB2312"/>
          <w:color w:val="auto"/>
          <w:sz w:val="32"/>
          <w:szCs w:val="32"/>
        </w:rPr>
        <w:t>万元，其中：公务接待费</w:t>
      </w:r>
      <w:r>
        <w:rPr>
          <w:rFonts w:hint="eastAsia" w:eastAsia="仿宋_GB2312"/>
          <w:color w:val="auto"/>
          <w:sz w:val="32"/>
          <w:szCs w:val="32"/>
          <w:lang w:val="en-US" w:eastAsia="zh-CN"/>
        </w:rPr>
        <w:t>5</w:t>
      </w:r>
      <w:r>
        <w:rPr>
          <w:rFonts w:eastAsia="仿宋_GB2312"/>
          <w:color w:val="auto"/>
          <w:sz w:val="32"/>
          <w:szCs w:val="32"/>
        </w:rPr>
        <w:t>万元</w:t>
      </w:r>
      <w:r>
        <w:rPr>
          <w:rFonts w:hint="eastAsia" w:eastAsia="仿宋_GB2312"/>
          <w:color w:val="auto"/>
          <w:sz w:val="32"/>
          <w:szCs w:val="32"/>
          <w:lang w:eastAsia="zh-CN"/>
        </w:rPr>
        <w:t>。</w:t>
      </w:r>
    </w:p>
    <w:p>
      <w:pPr>
        <w:tabs>
          <w:tab w:val="left" w:pos="7560"/>
        </w:tabs>
        <w:adjustRightInd w:val="0"/>
        <w:snapToGrid w:val="0"/>
        <w:spacing w:line="560" w:lineRule="exact"/>
        <w:ind w:firstLine="640" w:firstLineChars="200"/>
        <w:jc w:val="left"/>
        <w:rPr>
          <w:rFonts w:hint="eastAsia" w:eastAsia="仿宋_GB2312"/>
          <w:color w:val="auto"/>
          <w:sz w:val="32"/>
          <w:szCs w:val="32"/>
          <w:lang w:eastAsia="zh-CN"/>
        </w:rPr>
      </w:pPr>
      <w:r>
        <w:rPr>
          <w:rFonts w:eastAsia="仿宋_GB2312"/>
          <w:color w:val="auto"/>
          <w:sz w:val="32"/>
          <w:szCs w:val="32"/>
        </w:rPr>
        <w:t>20</w:t>
      </w:r>
      <w:r>
        <w:rPr>
          <w:rFonts w:hint="eastAsia" w:eastAsia="仿宋_GB2312"/>
          <w:color w:val="auto"/>
          <w:sz w:val="32"/>
          <w:szCs w:val="32"/>
        </w:rPr>
        <w:t>21</w:t>
      </w:r>
      <w:r>
        <w:rPr>
          <w:rFonts w:eastAsia="仿宋_GB2312"/>
          <w:color w:val="auto"/>
          <w:sz w:val="32"/>
          <w:szCs w:val="32"/>
        </w:rPr>
        <w:t>年“三公”经费预算数比20</w:t>
      </w:r>
      <w:r>
        <w:rPr>
          <w:rFonts w:hint="eastAsia" w:eastAsia="仿宋_GB2312"/>
          <w:color w:val="auto"/>
          <w:sz w:val="32"/>
          <w:szCs w:val="32"/>
        </w:rPr>
        <w:t>20</w:t>
      </w:r>
      <w:r>
        <w:rPr>
          <w:rFonts w:eastAsia="仿宋_GB2312"/>
          <w:color w:val="auto"/>
          <w:sz w:val="32"/>
          <w:szCs w:val="32"/>
        </w:rPr>
        <w:t>年增加</w:t>
      </w:r>
      <w:r>
        <w:rPr>
          <w:rFonts w:hint="eastAsia" w:eastAsia="仿宋_GB2312"/>
          <w:color w:val="auto"/>
          <w:sz w:val="32"/>
          <w:szCs w:val="32"/>
          <w:lang w:val="en-US" w:eastAsia="zh-CN"/>
        </w:rPr>
        <w:t>4</w:t>
      </w:r>
      <w:r>
        <w:rPr>
          <w:rFonts w:eastAsia="仿宋_GB2312"/>
          <w:color w:val="auto"/>
          <w:sz w:val="32"/>
          <w:szCs w:val="32"/>
        </w:rPr>
        <w:t>万元，主要是</w:t>
      </w:r>
      <w:r>
        <w:rPr>
          <w:rFonts w:hint="eastAsia" w:eastAsia="仿宋_GB2312"/>
          <w:color w:val="auto"/>
          <w:sz w:val="32"/>
          <w:szCs w:val="32"/>
          <w:lang w:eastAsia="zh-CN"/>
        </w:rPr>
        <w:t>本年度要举办</w:t>
      </w:r>
      <w:r>
        <w:rPr>
          <w:rFonts w:hint="eastAsia" w:eastAsia="仿宋_GB2312"/>
          <w:color w:val="auto"/>
          <w:sz w:val="32"/>
          <w:szCs w:val="32"/>
        </w:rPr>
        <w:t>人民网2021年全国创新社会治理典型案例颁奖暨经验交流会</w:t>
      </w:r>
      <w:r>
        <w:rPr>
          <w:rFonts w:hint="eastAsia" w:eastAsia="仿宋_GB2312"/>
          <w:color w:val="auto"/>
          <w:sz w:val="32"/>
          <w:szCs w:val="32"/>
          <w:lang w:eastAsia="zh-CN"/>
        </w:rPr>
        <w:t>，前后会有一系列相关公务接待。</w:t>
      </w:r>
    </w:p>
    <w:p>
      <w:pPr>
        <w:tabs>
          <w:tab w:val="left" w:pos="7560"/>
        </w:tabs>
        <w:adjustRightInd w:val="0"/>
        <w:snapToGrid w:val="0"/>
        <w:spacing w:line="560" w:lineRule="exact"/>
        <w:ind w:firstLine="640" w:firstLineChars="200"/>
        <w:jc w:val="left"/>
        <w:rPr>
          <w:rFonts w:eastAsia="楷体_GB2312"/>
          <w:bCs/>
          <w:color w:val="auto"/>
          <w:sz w:val="32"/>
          <w:szCs w:val="32"/>
        </w:rPr>
      </w:pPr>
      <w:r>
        <w:rPr>
          <w:rFonts w:eastAsia="楷体_GB2312"/>
          <w:bCs/>
          <w:color w:val="auto"/>
          <w:sz w:val="32"/>
          <w:szCs w:val="32"/>
        </w:rPr>
        <w:t>（六）会议费、培训费预算：</w:t>
      </w:r>
    </w:p>
    <w:p>
      <w:pPr>
        <w:tabs>
          <w:tab w:val="left" w:pos="7560"/>
        </w:tabs>
        <w:adjustRightInd w:val="0"/>
        <w:snapToGrid w:val="0"/>
        <w:spacing w:line="560" w:lineRule="exact"/>
        <w:ind w:firstLine="640" w:firstLineChars="200"/>
        <w:jc w:val="left"/>
        <w:rPr>
          <w:rFonts w:hint="default" w:eastAsia="仿宋_GB2312"/>
          <w:color w:val="auto"/>
          <w:sz w:val="32"/>
          <w:szCs w:val="32"/>
          <w:lang w:val="en-US" w:eastAsia="zh-CN"/>
        </w:rPr>
      </w:pPr>
      <w:r>
        <w:rPr>
          <w:rFonts w:eastAsia="仿宋_GB2312"/>
          <w:color w:val="auto"/>
          <w:sz w:val="32"/>
          <w:szCs w:val="32"/>
        </w:rPr>
        <w:t>20</w:t>
      </w:r>
      <w:r>
        <w:rPr>
          <w:rFonts w:hint="eastAsia" w:eastAsia="仿宋_GB2312"/>
          <w:color w:val="auto"/>
          <w:sz w:val="32"/>
          <w:szCs w:val="32"/>
        </w:rPr>
        <w:t>21</w:t>
      </w:r>
      <w:r>
        <w:rPr>
          <w:rFonts w:eastAsia="仿宋_GB2312"/>
          <w:color w:val="auto"/>
          <w:sz w:val="32"/>
          <w:szCs w:val="32"/>
        </w:rPr>
        <w:t>年预算安排会议费</w:t>
      </w:r>
      <w:r>
        <w:rPr>
          <w:rFonts w:hint="eastAsia" w:eastAsia="仿宋_GB2312"/>
          <w:color w:val="auto"/>
          <w:sz w:val="32"/>
          <w:szCs w:val="32"/>
          <w:lang w:val="en-US" w:eastAsia="zh-CN"/>
        </w:rPr>
        <w:t>155</w:t>
      </w:r>
      <w:r>
        <w:rPr>
          <w:rFonts w:eastAsia="仿宋_GB2312"/>
          <w:color w:val="auto"/>
          <w:sz w:val="32"/>
          <w:szCs w:val="32"/>
        </w:rPr>
        <w:t>万元，</w:t>
      </w:r>
      <w:r>
        <w:rPr>
          <w:rFonts w:hint="eastAsia" w:eastAsia="仿宋_GB2312"/>
          <w:color w:val="auto"/>
          <w:sz w:val="32"/>
          <w:szCs w:val="32"/>
          <w:lang w:eastAsia="zh-CN"/>
        </w:rPr>
        <w:t>其中</w:t>
      </w:r>
      <w:r>
        <w:rPr>
          <w:rFonts w:hint="eastAsia" w:eastAsia="仿宋_GB2312"/>
          <w:color w:val="auto"/>
          <w:sz w:val="32"/>
          <w:szCs w:val="32"/>
          <w:lang w:val="en-US" w:eastAsia="zh-CN"/>
        </w:rPr>
        <w:t>150万主要用于</w:t>
      </w:r>
      <w:r>
        <w:rPr>
          <w:rFonts w:hint="eastAsia" w:eastAsia="仿宋_GB2312"/>
          <w:color w:val="auto"/>
          <w:sz w:val="32"/>
          <w:szCs w:val="32"/>
          <w:lang w:eastAsia="zh-CN"/>
        </w:rPr>
        <w:t>举办</w:t>
      </w:r>
      <w:r>
        <w:rPr>
          <w:rFonts w:hint="eastAsia" w:eastAsia="仿宋_GB2312"/>
          <w:color w:val="auto"/>
          <w:sz w:val="32"/>
          <w:szCs w:val="32"/>
        </w:rPr>
        <w:t>人民网2021年全国创新社会治理典型案例颁奖暨经验交流会</w:t>
      </w:r>
      <w:r>
        <w:rPr>
          <w:rFonts w:hint="eastAsia" w:eastAsia="仿宋_GB2312"/>
          <w:color w:val="auto"/>
          <w:sz w:val="32"/>
          <w:szCs w:val="32"/>
          <w:lang w:eastAsia="zh-CN"/>
        </w:rPr>
        <w:t>，参会人数约</w:t>
      </w:r>
      <w:r>
        <w:rPr>
          <w:rFonts w:hint="eastAsia" w:eastAsia="仿宋_GB2312"/>
          <w:color w:val="auto"/>
          <w:sz w:val="32"/>
          <w:szCs w:val="32"/>
          <w:lang w:val="en-US" w:eastAsia="zh-CN"/>
        </w:rPr>
        <w:t>400人</w:t>
      </w:r>
      <w:r>
        <w:rPr>
          <w:rFonts w:hint="eastAsia" w:eastAsia="仿宋_GB2312"/>
          <w:color w:val="auto"/>
          <w:sz w:val="32"/>
          <w:szCs w:val="32"/>
          <w:lang w:eastAsia="zh-CN"/>
        </w:rPr>
        <w:t>；</w:t>
      </w:r>
      <w:r>
        <w:rPr>
          <w:rFonts w:hint="eastAsia" w:eastAsia="仿宋_GB2312"/>
          <w:color w:val="auto"/>
          <w:sz w:val="32"/>
          <w:szCs w:val="32"/>
          <w:lang w:val="en-US" w:eastAsia="zh-CN"/>
        </w:rPr>
        <w:t>5万主要用于年终展示会，参会人数约270人。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auto"/>
          <w:sz w:val="32"/>
          <w:szCs w:val="32"/>
        </w:rPr>
        <w:t>20</w:t>
      </w:r>
      <w:r>
        <w:rPr>
          <w:rFonts w:hint="eastAsia" w:eastAsia="仿宋_GB2312"/>
          <w:color w:val="auto"/>
          <w:sz w:val="32"/>
          <w:szCs w:val="32"/>
        </w:rPr>
        <w:t>21</w:t>
      </w:r>
      <w:r>
        <w:rPr>
          <w:rFonts w:eastAsia="仿宋_GB2312"/>
          <w:color w:val="auto"/>
          <w:sz w:val="32"/>
          <w:szCs w:val="32"/>
        </w:rPr>
        <w:t>年预算安排培训费</w:t>
      </w:r>
      <w:r>
        <w:rPr>
          <w:rFonts w:hint="eastAsia" w:eastAsia="仿宋_GB2312"/>
          <w:color w:val="auto"/>
          <w:sz w:val="32"/>
          <w:szCs w:val="32"/>
          <w:lang w:val="en-US" w:eastAsia="zh-CN"/>
        </w:rPr>
        <w:t>18</w:t>
      </w:r>
      <w:r>
        <w:rPr>
          <w:rFonts w:eastAsia="仿宋_GB2312"/>
          <w:color w:val="auto"/>
          <w:sz w:val="32"/>
          <w:szCs w:val="32"/>
        </w:rPr>
        <w:t>万元，主</w:t>
      </w:r>
      <w:r>
        <w:rPr>
          <w:rFonts w:eastAsia="仿宋_GB2312"/>
          <w:color w:val="000000"/>
          <w:sz w:val="32"/>
          <w:szCs w:val="32"/>
        </w:rPr>
        <w:t>要是</w:t>
      </w:r>
      <w:r>
        <w:rPr>
          <w:rFonts w:hint="eastAsia" w:eastAsia="仿宋_GB2312"/>
          <w:color w:val="000000"/>
          <w:sz w:val="32"/>
          <w:szCs w:val="32"/>
          <w:lang w:val="en-US" w:eastAsia="zh-CN"/>
        </w:rPr>
        <w:t>用于专兼职网格员培训，至少每季线上线下培训各1次，其中专职网格员培训人数约220人，兼职网格员培训约597人</w:t>
      </w:r>
      <w:r>
        <w:rPr>
          <w:rFonts w:eastAsia="仿宋_GB2312"/>
          <w:color w:val="000000"/>
          <w:sz w:val="32"/>
          <w:szCs w:val="32"/>
        </w:rPr>
        <w:t>。</w:t>
      </w:r>
    </w:p>
    <w:p>
      <w:pPr>
        <w:numPr>
          <w:ilvl w:val="0"/>
          <w:numId w:val="1"/>
        </w:numPr>
        <w:tabs>
          <w:tab w:val="left" w:pos="7560"/>
        </w:tabs>
        <w:adjustRightInd w:val="0"/>
        <w:snapToGrid w:val="0"/>
        <w:spacing w:line="560" w:lineRule="exact"/>
        <w:ind w:firstLine="640" w:firstLineChars="200"/>
        <w:jc w:val="left"/>
        <w:rPr>
          <w:rFonts w:eastAsia="仿宋_GB2312"/>
          <w:b w:val="0"/>
          <w:bCs w:val="0"/>
          <w:color w:val="000000"/>
          <w:sz w:val="32"/>
          <w:szCs w:val="32"/>
        </w:rPr>
      </w:pPr>
      <w:r>
        <w:rPr>
          <w:rFonts w:eastAsia="楷体_GB2312"/>
          <w:bCs/>
          <w:color w:val="000000"/>
          <w:sz w:val="32"/>
          <w:szCs w:val="32"/>
        </w:rPr>
        <w:t>其他事项。</w:t>
      </w:r>
    </w:p>
    <w:p>
      <w:pPr>
        <w:numPr>
          <w:ilvl w:val="0"/>
          <w:numId w:val="0"/>
        </w:numPr>
        <w:tabs>
          <w:tab w:val="left" w:pos="7560"/>
        </w:tabs>
        <w:adjustRightInd w:val="0"/>
        <w:snapToGrid w:val="0"/>
        <w:spacing w:line="560" w:lineRule="exact"/>
        <w:ind w:firstLine="640" w:firstLineChars="200"/>
        <w:jc w:val="left"/>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 xml:space="preserve">        本年度未安排对个人和家庭的补助支出；未安排一般公共预算基本支出预算明细表－对个人和家庭的补助支出；未安排政府性基金预算支出情况表（部门）收入；</w:t>
      </w:r>
    </w:p>
    <w:p>
      <w:pPr>
        <w:tabs>
          <w:tab w:val="left" w:pos="7560"/>
        </w:tabs>
        <w:adjustRightInd w:val="0"/>
        <w:snapToGrid w:val="0"/>
        <w:spacing w:line="560" w:lineRule="exact"/>
      </w:pPr>
      <w:r>
        <w:rPr>
          <w:rFonts w:hint="eastAsia" w:eastAsia="仿宋_GB2312"/>
          <w:b w:val="0"/>
          <w:bCs w:val="0"/>
          <w:color w:val="000000"/>
          <w:sz w:val="32"/>
          <w:szCs w:val="32"/>
          <w:lang w:val="en-US" w:eastAsia="zh-CN"/>
        </w:rPr>
        <w:t>未安排纳入专户管理的非税收入拨款部门支出总表(部门)；</w:t>
      </w:r>
      <w:r>
        <w:rPr>
          <w:rFonts w:hint="eastAsia" w:eastAsia="仿宋_GB2312"/>
          <w:color w:val="000000"/>
          <w:sz w:val="32"/>
          <w:szCs w:val="32"/>
          <w:lang w:val="en-US" w:eastAsia="zh-CN"/>
        </w:rPr>
        <w:t>本单位无门户网站，已在政府网统一公开。</w:t>
      </w:r>
    </w:p>
    <w:p>
      <w:pPr>
        <w:numPr>
          <w:ilvl w:val="0"/>
          <w:numId w:val="0"/>
        </w:numPr>
        <w:tabs>
          <w:tab w:val="left" w:pos="7560"/>
        </w:tabs>
        <w:adjustRightInd w:val="0"/>
        <w:snapToGrid w:val="0"/>
        <w:spacing w:line="560" w:lineRule="exact"/>
        <w:jc w:val="left"/>
        <w:rPr>
          <w:rFonts w:hint="eastAsia" w:eastAsia="仿宋_GB2312"/>
          <w:b w:val="0"/>
          <w:bCs w:val="0"/>
          <w:color w:val="000000"/>
          <w:sz w:val="32"/>
          <w:szCs w:val="32"/>
          <w:lang w:val="en-US" w:eastAsia="zh-CN"/>
        </w:rPr>
      </w:pPr>
    </w:p>
    <w:p>
      <w:pPr>
        <w:numPr>
          <w:ilvl w:val="0"/>
          <w:numId w:val="0"/>
        </w:numPr>
        <w:tabs>
          <w:tab w:val="left" w:pos="7560"/>
        </w:tabs>
        <w:adjustRightInd w:val="0"/>
        <w:snapToGrid w:val="0"/>
        <w:spacing w:line="560" w:lineRule="exact"/>
        <w:jc w:val="left"/>
        <w:rPr>
          <w:rFonts w:hint="eastAsia" w:eastAsia="仿宋_GB2312"/>
          <w:b/>
          <w:bCs/>
          <w:color w:val="000000"/>
          <w:sz w:val="32"/>
          <w:szCs w:val="32"/>
          <w:lang w:val="en-US" w:eastAsia="zh-CN"/>
        </w:rPr>
      </w:pPr>
      <w:r>
        <w:rPr>
          <w:rFonts w:hint="eastAsia" w:eastAsia="仿宋_GB2312"/>
          <w:b/>
          <w:bCs/>
          <w:color w:val="000000"/>
          <w:sz w:val="32"/>
          <w:szCs w:val="32"/>
          <w:lang w:val="en-US" w:eastAsia="zh-CN"/>
        </w:rPr>
        <w:t xml:space="preserve">           </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0D427"/>
    <w:multiLevelType w:val="singleLevel"/>
    <w:tmpl w:val="E960D42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D84058"/>
    <w:rsid w:val="00323B43"/>
    <w:rsid w:val="003D37D8"/>
    <w:rsid w:val="004358AB"/>
    <w:rsid w:val="005553BA"/>
    <w:rsid w:val="006464CA"/>
    <w:rsid w:val="0077734D"/>
    <w:rsid w:val="008B7726"/>
    <w:rsid w:val="00B221AD"/>
    <w:rsid w:val="00CB1E75"/>
    <w:rsid w:val="00D84058"/>
    <w:rsid w:val="00E315E9"/>
    <w:rsid w:val="01537F5F"/>
    <w:rsid w:val="0E7C3B74"/>
    <w:rsid w:val="100F5138"/>
    <w:rsid w:val="1F2104A7"/>
    <w:rsid w:val="2B4E410C"/>
    <w:rsid w:val="35225C6C"/>
    <w:rsid w:val="35DD7E9A"/>
    <w:rsid w:val="3E3C44BA"/>
    <w:rsid w:val="480C4B01"/>
    <w:rsid w:val="4A747261"/>
    <w:rsid w:val="5F371CA7"/>
    <w:rsid w:val="60356AC8"/>
    <w:rsid w:val="6598395D"/>
    <w:rsid w:val="6F5917A1"/>
    <w:rsid w:val="704E4604"/>
    <w:rsid w:val="71976EF5"/>
    <w:rsid w:val="721D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4C4C4C"/>
      <w:kern w:val="0"/>
      <w:sz w:val="21"/>
      <w:szCs w:val="21"/>
      <w:lang w:val="en-US" w:eastAsia="zh-CN" w:bidi="ar"/>
    </w:rPr>
  </w:style>
  <w:style w:type="character" w:customStyle="1" w:styleId="7">
    <w:name w:val="页眉 Char"/>
    <w:basedOn w:val="6"/>
    <w:link w:val="3"/>
    <w:semiHidden/>
    <w:qFormat/>
    <w:uiPriority w:val="99"/>
    <w:rPr>
      <w:rFonts w:ascii="Times New Roman" w:hAnsi="Times New Roman" w:eastAsia="宋体" w:cs="Times New Roman"/>
      <w:kern w:val="2"/>
      <w:sz w:val="18"/>
      <w:szCs w:val="18"/>
    </w:rPr>
  </w:style>
  <w:style w:type="character" w:customStyle="1" w:styleId="8">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3167</Words>
  <Characters>3376</Characters>
  <Lines>21</Lines>
  <Paragraphs>6</Paragraphs>
  <TotalTime>2</TotalTime>
  <ScaleCrop>false</ScaleCrop>
  <LinksUpToDate>false</LinksUpToDate>
  <CharactersWithSpaces>3420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2022-09-12T11:17:09Z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3D341967C721483F975B3DD640CDE23E</vt:lpwstr>
  </property>
</Properties>
</file>