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rPr>
      </w:pPr>
      <w:r>
        <w:rPr>
          <w:rFonts w:hint="eastAsia" w:eastAsia="方正小标宋简体"/>
          <w:bCs/>
          <w:color w:val="000000"/>
          <w:sz w:val="44"/>
          <w:szCs w:val="44"/>
        </w:rPr>
        <w:t>醴陵市商务和粮食</w:t>
      </w:r>
      <w:r>
        <w:rPr>
          <w:rFonts w:eastAsia="方正小标宋简体"/>
          <w:bCs/>
          <w:color w:val="000000"/>
          <w:sz w:val="44"/>
          <w:szCs w:val="44"/>
        </w:rPr>
        <w:t>局</w:t>
      </w:r>
    </w:p>
    <w:p>
      <w:pPr>
        <w:tabs>
          <w:tab w:val="left" w:pos="7560"/>
        </w:tabs>
        <w:adjustRightInd w:val="0"/>
        <w:snapToGrid w:val="0"/>
        <w:spacing w:line="560" w:lineRule="exact"/>
        <w:jc w:val="center"/>
        <w:rPr>
          <w:rFonts w:eastAsia="楷体_GB2312"/>
          <w:b/>
          <w:color w:val="000000"/>
          <w:sz w:val="32"/>
          <w:szCs w:val="32"/>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560" w:lineRule="exact"/>
        <w:ind w:firstLine="640"/>
        <w:jc w:val="left"/>
        <w:rPr>
          <w:rFonts w:ascii="仿宋_GB2312" w:hAnsi="仿宋_GB2312" w:eastAsia="仿宋_GB2312" w:cs="仿宋_GB2312"/>
          <w:color w:val="000000"/>
          <w:kern w:val="0"/>
          <w:sz w:val="32"/>
          <w:szCs w:val="32"/>
        </w:rPr>
      </w:pPr>
      <w:bookmarkStart w:id="0" w:name="OLE_LINK1"/>
      <w:r>
        <w:rPr>
          <w:rFonts w:hint="eastAsia" w:ascii="仿宋_GB2312" w:hAnsi="仿宋_GB2312" w:eastAsia="仿宋_GB2312" w:cs="仿宋_GB2312"/>
          <w:color w:val="000000"/>
          <w:kern w:val="0"/>
          <w:sz w:val="32"/>
          <w:szCs w:val="32"/>
        </w:rPr>
        <w:t>醴陵市商务和粮食局是市人民政府组成部门，</w:t>
      </w:r>
      <w:bookmarkEnd w:id="0"/>
      <w:r>
        <w:rPr>
          <w:rFonts w:hint="eastAsia" w:ascii="仿宋_GB2312" w:hAnsi="仿宋_GB2312" w:eastAsia="仿宋_GB2312" w:cs="仿宋_GB2312"/>
          <w:color w:val="000000"/>
          <w:kern w:val="0"/>
          <w:sz w:val="32"/>
          <w:szCs w:val="32"/>
        </w:rPr>
        <w:t>本部门主要职责是：</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贯彻执行国家、省、市有关国内外贸易、国际经济合作和区域经济合作、粮食流通和粮食储备的发展战略、法律法规和方针政策；拟订并组织实施全市国内外贸易、招商引资、承接产业转移、对外投资和对外经济合作、粮食宏观调控、总量平衡以及粮食流通产业的中长期发展规划、年度计划；研究经济全球化、区域经济合作、现代流通方式的发展趋势和流通体制改革并提出建议。</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推进流通产业结构调整，指导流通企业改革，促进商贸服务业和社区商业发展；提出促进商贸中小企业发展的建议，推动流通标准化和连锁经营、商业特许经营、物流配送、电子商务等现代流通方式的发展。</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拟订全市国内贸易展规划，促进城乡市场发展，提出引导国内外资金投向市场体系建设的建议，指导大宗产品批发市场规划和城市商业网点规划、商业体系建设工作，推进农村市场体系建设，组织实施农村现代流通网络工程。</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牵头协调和规范市场经济秩序；协调全市消除地区封锁、打破行业垄断的有关工作；推动商务和粮食流通领域信用建设，指导商业信用销售，建立商务和粮食流通领域诚信公共服务平台；按有关规定对成品油和特殊流通行业进行监督管理。</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（五）组织实施重要消费品市场调控和重要生产资料流通管理，建立健全生活必需品市场供应应急管理机制，监测分析市场运行、商品供求状况，调查分析商品价格信息，进行预测预警和信息引导。</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六）贯彻执行国家、省、市进出口商品、加工贸易管理办法和进出口管理商品、技术目录；贯彻执行国家、省、市对外技术贸易、出口管制以及鼓励技术和成套设备进出口的贸易政策；拟订促进外贸增长方式转变的措施，指导贸易促进活动和外贸促进体系建设。                                                                                                                                   </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（七）会同有关部门拟订服务贸易发展规划、促进服务出口、服务外包的措施并组织实施，推动服务外包平台建设。</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制定并组织实施对外经济合作方案；依法管理和监督对外承包工程‘对外劳务合作等；负责牵头外派劳务和境外就业人员的权益保护工作；协调管理全市对外援助项目、多边对我市的无偿援助和赠款（不含财政合作项目下外国政府及国际金融组织的捐款）等发展合作业务。</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负责全市招商引资和承接产业转移工作，制定并组织实施招商引资和承接产业转移的措施；依法核准外商投资企业的设立及变更事项；依法核准重大外商投资项目的合同章程及法律特别规定的重大变更事项；依法监督检查外商投资企业执行有关法律法规规章、合同章程的情况并协调解决有关问题；指导全市投资，承担外商投资企业审批工作，规范招商引资活动；协调国家级、省级经济技术开发区的有关工作。</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（十一）负责会展业促进与管理有关工作；组织指导协调以醴陵市名义在境内外举办的外贸交易会、展览会、展销会和招商引资等活动。</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负责全市粮食监测预警和应急责任；负责全市粮食流通宏观调控的具体工作；负责协调最低粮食收购价等政策性粮食购销和粮食产销合作；负责全市粮食流通和粮食库存的监督检查工作；保障军队粮食供应。</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负责粮食流通行业管理；制定行业发展规划，提出粮食收购市场准入标准的建议；负责全市粮食质量检测的有关工作；负责粮食流通的科技进步、技术改造和新技术推广；负责粮食收购行政许可的有关行政管理工作；监督管理粮食收购、储存环节的粮食质量安全和原粮卫生工作。</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受省有关部门委托承担辖区内省级储备粮管理责任；会同有关部门拟订县级储备粮的规模、总体布局、购销计划以及提出动用县级储备粮的建议；会同有关部门审批县级储备粮轮换计划并监督实施；监督检查县级储备粮的数量、质量和储存安全；拟订县级储备粮管理的技术规范并监督执行。</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（十五）会同有关部门拟订全市粮食市场体系建设与发展规划并组织实施；拟订粮食流通、仓储和加工设施建设的规划；管理有关粮食流通设施投资项目；指导国有粮食企业改革的后期工作。</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（十六）负责全市商务和粮食系统统计及信息发布工作，提供信息咨询服务，负责全市流通领域信息网络和电子商务建设。</w:t>
      </w:r>
    </w:p>
    <w:p>
      <w:pPr>
        <w:widowControl/>
        <w:spacing w:line="560" w:lineRule="exact"/>
        <w:ind w:firstLine="682"/>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（十七）负责有关行政复议和行政诉讼应诉工作。</w:t>
      </w:r>
    </w:p>
    <w:p>
      <w:pPr>
        <w:widowControl/>
        <w:spacing w:line="560" w:lineRule="exact"/>
        <w:ind w:firstLine="682"/>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（十八）承办市人民政府交办的其他事项。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43</w:t>
      </w:r>
      <w:r>
        <w:rPr>
          <w:rFonts w:eastAsia="仿宋_GB2312"/>
          <w:color w:val="000000"/>
          <w:sz w:val="32"/>
          <w:szCs w:val="32"/>
        </w:rPr>
        <w:t>人，实有人数</w:t>
      </w:r>
      <w:r>
        <w:rPr>
          <w:rFonts w:hint="eastAsia" w:eastAsia="仿宋_GB2312"/>
          <w:color w:val="000000"/>
          <w:sz w:val="32"/>
          <w:szCs w:val="32"/>
        </w:rPr>
        <w:t>36</w:t>
      </w:r>
      <w:r>
        <w:rPr>
          <w:rFonts w:eastAsia="仿宋_GB2312"/>
          <w:color w:val="000000"/>
          <w:sz w:val="32"/>
          <w:szCs w:val="32"/>
        </w:rPr>
        <w:t>人。内设股室</w:t>
      </w:r>
      <w:r>
        <w:rPr>
          <w:rFonts w:hint="eastAsia" w:eastAsia="仿宋_GB2312"/>
          <w:color w:val="000000"/>
          <w:sz w:val="32"/>
          <w:szCs w:val="32"/>
        </w:rPr>
        <w:t>9</w:t>
      </w:r>
      <w:r>
        <w:rPr>
          <w:rFonts w:eastAsia="仿宋_GB2312"/>
          <w:color w:val="000000"/>
          <w:sz w:val="32"/>
          <w:szCs w:val="32"/>
        </w:rPr>
        <w:t>个（含</w:t>
      </w:r>
      <w:r>
        <w:rPr>
          <w:rFonts w:hint="eastAsia" w:eastAsia="仿宋_GB2312"/>
          <w:color w:val="000000"/>
          <w:sz w:val="32"/>
          <w:szCs w:val="32"/>
        </w:rPr>
        <w:t>0</w:t>
      </w:r>
      <w:r>
        <w:rPr>
          <w:rFonts w:eastAsia="仿宋_GB2312"/>
          <w:color w:val="000000"/>
          <w:sz w:val="32"/>
          <w:szCs w:val="32"/>
        </w:rPr>
        <w:t>个正科级单位），分别为：</w:t>
      </w:r>
      <w:r>
        <w:rPr>
          <w:rFonts w:hint="eastAsia" w:ascii="仿宋_GB2312" w:hAnsi="仿宋_GB2312" w:eastAsia="仿宋_GB2312" w:cs="仿宋_GB2312"/>
          <w:kern w:val="0"/>
          <w:sz w:val="32"/>
        </w:rPr>
        <w:t>办公室、计划财务股、法规股（行政审批股）、外经外贸股、内贸股（电子商务股）、投资股（联络股）、粮食调控和发展股、应急与物资储备股、人事教育股。</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w:t>
      </w:r>
      <w:r>
        <w:rPr>
          <w:rFonts w:eastAsia="仿宋_GB2312"/>
          <w:color w:val="000000"/>
          <w:sz w:val="32"/>
          <w:szCs w:val="32"/>
        </w:rPr>
        <w:t>无下属二级预算单位。收入包括一般公共预算收入</w:t>
      </w:r>
      <w:r>
        <w:rPr>
          <w:rFonts w:hint="eastAsia" w:eastAsia="仿宋_GB2312"/>
          <w:color w:val="000000"/>
          <w:sz w:val="32"/>
          <w:szCs w:val="32"/>
        </w:rPr>
        <w:t>和上级补助收入</w:t>
      </w:r>
      <w:r>
        <w:rPr>
          <w:rFonts w:eastAsia="仿宋_GB2312"/>
          <w:color w:val="000000"/>
          <w:sz w:val="32"/>
          <w:szCs w:val="32"/>
        </w:rPr>
        <w:t>；支出包括保障局机关及直属单位基本运行的经费。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934.03</w:t>
      </w:r>
      <w:r>
        <w:rPr>
          <w:rFonts w:eastAsia="仿宋_GB2312"/>
          <w:color w:val="000000"/>
          <w:sz w:val="32"/>
          <w:szCs w:val="32"/>
        </w:rPr>
        <w:t>万元，其中，一般公共预算拨款</w:t>
      </w:r>
      <w:r>
        <w:rPr>
          <w:rFonts w:hint="eastAsia" w:eastAsia="仿宋_GB2312"/>
          <w:color w:val="000000"/>
          <w:sz w:val="32"/>
          <w:szCs w:val="32"/>
        </w:rPr>
        <w:t>934.03</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其他</w:t>
      </w:r>
      <w:r>
        <w:rPr>
          <w:rFonts w:eastAsia="仿宋_GB2312"/>
          <w:color w:val="000000"/>
          <w:sz w:val="32"/>
          <w:szCs w:val="32"/>
        </w:rPr>
        <w:t>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ascii="仿宋" w:hAnsi="仿宋" w:eastAsia="仿宋"/>
          <w:color w:val="000000"/>
          <w:sz w:val="32"/>
          <w:szCs w:val="32"/>
        </w:rPr>
      </w:pPr>
      <w:r>
        <w:rPr>
          <w:rFonts w:eastAsia="楷体_GB2312"/>
          <w:bCs/>
          <w:color w:val="000000"/>
          <w:sz w:val="32"/>
          <w:szCs w:val="32"/>
        </w:rPr>
        <w:t>（二）支出预算：</w:t>
      </w:r>
      <w:r>
        <w:rPr>
          <w:rFonts w:hint="eastAsia" w:eastAsia="仿宋_GB2312"/>
          <w:color w:val="000000"/>
          <w:sz w:val="32"/>
          <w:szCs w:val="32"/>
        </w:rPr>
        <w:t>2</w:t>
      </w:r>
      <w:r>
        <w:rPr>
          <w:rFonts w:hint="eastAsia" w:ascii="仿宋" w:hAnsi="仿宋" w:eastAsia="仿宋"/>
          <w:color w:val="000000"/>
          <w:sz w:val="32"/>
          <w:szCs w:val="32"/>
        </w:rPr>
        <w:t>021</w:t>
      </w:r>
      <w:r>
        <w:rPr>
          <w:rFonts w:ascii="仿宋" w:hAnsi="仿宋" w:eastAsia="仿宋"/>
          <w:color w:val="000000"/>
          <w:sz w:val="32"/>
          <w:szCs w:val="32"/>
        </w:rPr>
        <w:t>年年初预算数</w:t>
      </w:r>
      <w:r>
        <w:rPr>
          <w:rFonts w:hint="eastAsia" w:ascii="仿宋" w:hAnsi="仿宋" w:eastAsia="仿宋"/>
          <w:color w:val="000000"/>
          <w:sz w:val="32"/>
          <w:szCs w:val="32"/>
        </w:rPr>
        <w:t>934.03</w:t>
      </w:r>
      <w:r>
        <w:rPr>
          <w:rFonts w:ascii="仿宋" w:hAnsi="仿宋" w:eastAsia="仿宋"/>
          <w:color w:val="000000"/>
          <w:sz w:val="32"/>
          <w:szCs w:val="32"/>
        </w:rPr>
        <w:t>万元，其中，一般公共服务支出</w:t>
      </w:r>
      <w:r>
        <w:rPr>
          <w:rFonts w:hint="eastAsia" w:ascii="仿宋" w:hAnsi="仿宋" w:eastAsia="仿宋"/>
          <w:color w:val="000000"/>
          <w:sz w:val="32"/>
          <w:szCs w:val="32"/>
        </w:rPr>
        <w:t>885.04</w:t>
      </w:r>
      <w:r>
        <w:rPr>
          <w:rFonts w:ascii="仿宋" w:hAnsi="仿宋" w:eastAsia="仿宋"/>
          <w:color w:val="000000"/>
          <w:sz w:val="32"/>
          <w:szCs w:val="32"/>
        </w:rPr>
        <w:t>万元，</w:t>
      </w:r>
      <w:r>
        <w:rPr>
          <w:rFonts w:hint="eastAsia" w:ascii="仿宋" w:hAnsi="仿宋" w:eastAsia="仿宋"/>
          <w:color w:val="000000"/>
          <w:sz w:val="32"/>
          <w:szCs w:val="32"/>
        </w:rPr>
        <w:t>卫生健康支出13.99</w:t>
      </w:r>
      <w:r>
        <w:rPr>
          <w:rFonts w:ascii="仿宋" w:hAnsi="仿宋" w:eastAsia="仿宋"/>
          <w:color w:val="000000"/>
          <w:sz w:val="32"/>
          <w:szCs w:val="32"/>
        </w:rPr>
        <w:t>万元，</w:t>
      </w:r>
      <w:r>
        <w:rPr>
          <w:rFonts w:hint="eastAsia" w:ascii="仿宋" w:hAnsi="仿宋" w:eastAsia="仿宋"/>
          <w:color w:val="000000"/>
          <w:sz w:val="32"/>
          <w:szCs w:val="32"/>
        </w:rPr>
        <w:t>粮油物资储备支出35</w:t>
      </w:r>
      <w:r>
        <w:rPr>
          <w:rFonts w:ascii="仿宋" w:hAnsi="仿宋" w:eastAsia="仿宋"/>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554.03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1" w:name="_GoBack"/>
      <w:bookmarkEnd w:id="1"/>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380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电商扶贫</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推进电子商务与扶贫开发、乡村振兴有机结合，鼓励乡村新业态发展，持续实施“互联网+”农产品出村进城工程，深化电子商务进农村综合示范，加强县域电商专业人才的培训培育，推广电商平台，扩宽农产品销售渠道。</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国际进口博览会</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1、充分利用进口博览会平台扩大我市进口；2、学习先进办展经验。3、进一步加大醴陵特色产业、物流及发展优势宣传推介力度，不断提升醴陵对外影响力，吸引国内外客商来我市投资兴业，全面提升我市对外开放的规模和水平。</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市政府与中储粮签订补充协议应承担的费用</w:t>
      </w:r>
      <w:r>
        <w:rPr>
          <w:rFonts w:eastAsia="仿宋_GB2312"/>
          <w:color w:val="000000"/>
          <w:sz w:val="32"/>
          <w:szCs w:val="32"/>
        </w:rPr>
        <w:t>专项</w:t>
      </w:r>
      <w:r>
        <w:rPr>
          <w:rFonts w:hint="eastAsia" w:eastAsia="仿宋_GB2312"/>
          <w:color w:val="000000"/>
          <w:sz w:val="32"/>
          <w:szCs w:val="32"/>
        </w:rPr>
        <w:t>35</w:t>
      </w:r>
      <w:r>
        <w:rPr>
          <w:rFonts w:eastAsia="仿宋_GB2312"/>
          <w:color w:val="000000"/>
          <w:sz w:val="32"/>
          <w:szCs w:val="32"/>
        </w:rPr>
        <w:t>万元。主要用于</w:t>
      </w:r>
      <w:r>
        <w:rPr>
          <w:rFonts w:hint="eastAsia" w:eastAsia="仿宋_GB2312"/>
          <w:color w:val="000000"/>
          <w:sz w:val="32"/>
          <w:szCs w:val="32"/>
        </w:rPr>
        <w:t>稳定粮食系统改革的成果，确保系统内部稳定。落实政策，按要求按时支付相关费用。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934.03</w:t>
      </w:r>
      <w:r>
        <w:rPr>
          <w:rFonts w:eastAsia="仿宋_GB2312"/>
          <w:color w:val="000000"/>
          <w:sz w:val="32"/>
          <w:szCs w:val="32"/>
        </w:rPr>
        <w:t>万元，比上年增加</w:t>
      </w:r>
      <w:r>
        <w:rPr>
          <w:rFonts w:hint="eastAsia" w:eastAsia="仿宋_GB2312"/>
          <w:color w:val="000000"/>
          <w:sz w:val="32"/>
          <w:szCs w:val="32"/>
        </w:rPr>
        <w:t>172.81</w:t>
      </w:r>
      <w:r>
        <w:rPr>
          <w:rFonts w:eastAsia="仿宋_GB2312"/>
          <w:color w:val="000000"/>
          <w:sz w:val="32"/>
          <w:szCs w:val="32"/>
        </w:rPr>
        <w:t>万元，主要原因是</w:t>
      </w:r>
      <w:r>
        <w:rPr>
          <w:rFonts w:hint="eastAsia" w:eastAsia="仿宋_GB2312"/>
          <w:color w:val="000000"/>
          <w:sz w:val="32"/>
          <w:szCs w:val="32"/>
        </w:rPr>
        <w:t>上级补助收入</w:t>
      </w:r>
      <w:r>
        <w:rPr>
          <w:rFonts w:eastAsia="仿宋_GB2312"/>
          <w:color w:val="000000"/>
          <w:sz w:val="32"/>
          <w:szCs w:val="32"/>
        </w:rPr>
        <w:t>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226.22</w:t>
      </w:r>
      <w:r>
        <w:rPr>
          <w:rFonts w:eastAsia="仿宋_GB2312"/>
          <w:color w:val="000000"/>
          <w:sz w:val="32"/>
          <w:szCs w:val="32"/>
        </w:rPr>
        <w:t>万元，比上年度预算增加</w:t>
      </w:r>
      <w:r>
        <w:rPr>
          <w:rFonts w:hint="eastAsia" w:eastAsia="仿宋_GB2312"/>
          <w:color w:val="000000"/>
          <w:sz w:val="32"/>
          <w:szCs w:val="32"/>
        </w:rPr>
        <w:t>58.03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去年招商接洽等4个重点专项转为行政运行项目，金额与去年一致。</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w:t>
      </w:r>
      <w:r>
        <w:rPr>
          <w:rFonts w:hint="eastAsia" w:eastAsia="楷体_GB2312"/>
          <w:bCs/>
          <w:color w:val="000000"/>
          <w:sz w:val="32"/>
          <w:szCs w:val="32"/>
        </w:rPr>
        <w:t>）</w:t>
      </w:r>
      <w:r>
        <w:rPr>
          <w:rFonts w:eastAsia="楷体_GB2312"/>
          <w:bCs/>
          <w:color w:val="000000"/>
          <w:sz w:val="32"/>
          <w:szCs w:val="32"/>
        </w:rPr>
        <w:t>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118.5</w:t>
      </w:r>
      <w:r>
        <w:rPr>
          <w:rFonts w:eastAsia="仿宋_GB2312"/>
          <w:color w:val="000000"/>
          <w:sz w:val="32"/>
          <w:szCs w:val="32"/>
        </w:rPr>
        <w:t>万元。包含：</w:t>
      </w:r>
      <w:r>
        <w:rPr>
          <w:rFonts w:hint="eastAsia" w:eastAsia="仿宋_GB2312"/>
          <w:kern w:val="0"/>
          <w:sz w:val="32"/>
          <w:szCs w:val="32"/>
        </w:rPr>
        <w:t>政府采购货物9.5万元、工程类8万元、会议定点服务16万元、购买物业管理服务3万元、其他服务82万元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rPr>
        <w:t>1527</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934.03</w:t>
      </w:r>
      <w:r>
        <w:rPr>
          <w:rFonts w:eastAsia="仿宋_GB2312"/>
          <w:color w:val="000000"/>
          <w:sz w:val="32"/>
          <w:szCs w:val="32"/>
        </w:rPr>
        <w:t>万元，其中，基本支出</w:t>
      </w:r>
      <w:r>
        <w:rPr>
          <w:rFonts w:hint="eastAsia" w:eastAsia="仿宋_GB2312"/>
          <w:color w:val="000000"/>
          <w:sz w:val="32"/>
          <w:szCs w:val="32"/>
        </w:rPr>
        <w:t>554.03</w:t>
      </w:r>
      <w:r>
        <w:rPr>
          <w:rFonts w:eastAsia="仿宋_GB2312"/>
          <w:color w:val="000000"/>
          <w:sz w:val="32"/>
          <w:szCs w:val="32"/>
        </w:rPr>
        <w:t xml:space="preserve">万元，项目支出 </w:t>
      </w:r>
      <w:r>
        <w:rPr>
          <w:rFonts w:hint="eastAsia" w:eastAsia="仿宋_GB2312"/>
          <w:color w:val="000000"/>
          <w:sz w:val="32"/>
          <w:szCs w:val="32"/>
        </w:rPr>
        <w:t>380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46</w:t>
      </w:r>
      <w:r>
        <w:rPr>
          <w:rFonts w:eastAsia="仿宋_GB2312"/>
          <w:color w:val="000000"/>
          <w:sz w:val="32"/>
          <w:szCs w:val="32"/>
        </w:rPr>
        <w:t>万元，其中：公务接待费</w:t>
      </w:r>
      <w:r>
        <w:rPr>
          <w:rFonts w:hint="eastAsia" w:eastAsia="仿宋_GB2312"/>
          <w:color w:val="000000"/>
          <w:sz w:val="32"/>
          <w:szCs w:val="32"/>
        </w:rPr>
        <w:t>46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无变化</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6</w:t>
      </w:r>
      <w:r>
        <w:rPr>
          <w:rFonts w:eastAsia="仿宋_GB2312"/>
          <w:color w:val="000000"/>
          <w:sz w:val="32"/>
          <w:szCs w:val="32"/>
        </w:rPr>
        <w:t>万元，主要是</w:t>
      </w:r>
      <w:r>
        <w:rPr>
          <w:rFonts w:hint="eastAsia" w:eastAsia="仿宋_GB2312"/>
          <w:color w:val="000000"/>
          <w:sz w:val="32"/>
          <w:szCs w:val="32"/>
        </w:rPr>
        <w:t>：1、招商引资重大项目活动签约场地费，每一季度一次；2、三乡活动会议费，一年一次。共200-300人次，6万元左右。</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3</w:t>
      </w:r>
      <w:r>
        <w:rPr>
          <w:rFonts w:eastAsia="仿宋_GB2312"/>
          <w:color w:val="000000"/>
          <w:sz w:val="32"/>
          <w:szCs w:val="32"/>
        </w:rPr>
        <w:t>万元，主要</w:t>
      </w:r>
      <w:r>
        <w:rPr>
          <w:rFonts w:hint="eastAsia" w:eastAsia="仿宋_GB2312"/>
          <w:color w:val="000000"/>
          <w:sz w:val="32"/>
          <w:szCs w:val="32"/>
        </w:rPr>
        <w:t>是：1、开展外贸政策业务培训；2、组织电子商务操作流程培训；3、参加粮食流通统计业务培训；4、开展安全生产业务培训；5、组织再生物资收购政策培训等。共100-150人次，3万元左右。</w:t>
      </w:r>
    </w:p>
    <w:p>
      <w:pPr>
        <w:numPr>
          <w:ilvl w:val="0"/>
          <w:numId w:val="1"/>
        </w:numPr>
        <w:tabs>
          <w:tab w:val="left" w:pos="7560"/>
        </w:tabs>
        <w:adjustRightInd w:val="0"/>
        <w:snapToGrid w:val="0"/>
        <w:spacing w:line="60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600" w:lineRule="exact"/>
        <w:ind w:firstLine="640" w:firstLineChars="200"/>
        <w:jc w:val="left"/>
        <w:rPr>
          <w:rFonts w:eastAsia="仿宋_GB2312"/>
          <w:bCs/>
          <w:color w:val="000000"/>
          <w:sz w:val="32"/>
          <w:szCs w:val="32"/>
        </w:rPr>
      </w:pPr>
      <w:r>
        <w:rPr>
          <w:rFonts w:eastAsia="仿宋_GB2312"/>
          <w:bCs/>
          <w:color w:val="000000"/>
          <w:sz w:val="32"/>
          <w:szCs w:val="32"/>
        </w:rPr>
        <w:t>本单位202</w:t>
      </w:r>
      <w:r>
        <w:rPr>
          <w:rFonts w:hint="eastAsia" w:eastAsia="仿宋_GB2312"/>
          <w:bCs/>
          <w:color w:val="000000"/>
          <w:sz w:val="32"/>
          <w:szCs w:val="32"/>
        </w:rPr>
        <w:t>1</w:t>
      </w:r>
      <w:r>
        <w:rPr>
          <w:rFonts w:eastAsia="仿宋_GB2312"/>
          <w:bCs/>
          <w:color w:val="000000"/>
          <w:sz w:val="32"/>
          <w:szCs w:val="32"/>
        </w:rPr>
        <w:t>年预算未安排政府性基金预算。</w:t>
      </w:r>
    </w:p>
    <w:p>
      <w:pPr>
        <w:widowControl/>
        <w:shd w:val="clear" w:color="auto" w:fill="FFFFFF"/>
        <w:spacing w:line="600" w:lineRule="exact"/>
        <w:ind w:firstLine="640"/>
        <w:jc w:val="left"/>
        <w:rPr>
          <w:rFonts w:eastAsia="仿宋_GB2312"/>
          <w:kern w:val="0"/>
          <w:sz w:val="32"/>
          <w:szCs w:val="32"/>
        </w:rPr>
      </w:pPr>
      <w:r>
        <w:rPr>
          <w:rFonts w:eastAsia="仿宋_GB2312"/>
          <w:kern w:val="0"/>
          <w:sz w:val="32"/>
          <w:szCs w:val="32"/>
        </w:rPr>
        <w:t>本单位无门户网站，已在政府网统一公开。</w:t>
      </w:r>
    </w:p>
    <w:p>
      <w:pPr>
        <w:widowControl/>
        <w:shd w:val="clear" w:color="auto" w:fill="FFFFFF"/>
        <w:spacing w:line="600" w:lineRule="exact"/>
        <w:ind w:firstLine="640"/>
        <w:jc w:val="left"/>
        <w:rPr>
          <w:rFonts w:eastAsia="仿宋_GB2312"/>
          <w:kern w:val="0"/>
          <w:sz w:val="32"/>
          <w:szCs w:val="32"/>
        </w:rPr>
      </w:pPr>
      <w:r>
        <w:rPr>
          <w:rFonts w:eastAsia="仿宋_GB2312"/>
          <w:kern w:val="0"/>
          <w:sz w:val="32"/>
          <w:szCs w:val="32"/>
        </w:rPr>
        <w:t>本单位202</w:t>
      </w:r>
      <w:r>
        <w:rPr>
          <w:rFonts w:hint="eastAsia" w:eastAsia="仿宋_GB2312"/>
          <w:kern w:val="0"/>
          <w:sz w:val="32"/>
          <w:szCs w:val="32"/>
        </w:rPr>
        <w:t>1</w:t>
      </w:r>
      <w:r>
        <w:rPr>
          <w:rFonts w:eastAsia="仿宋_GB2312"/>
          <w:kern w:val="0"/>
          <w:sz w:val="32"/>
          <w:szCs w:val="32"/>
        </w:rPr>
        <w:t>年未安排纳入专户管理的非税收入拨款。</w:t>
      </w:r>
    </w:p>
    <w:p>
      <w:pPr>
        <w:tabs>
          <w:tab w:val="left" w:pos="7560"/>
        </w:tabs>
        <w:adjustRightInd w:val="0"/>
        <w:snapToGrid w:val="0"/>
        <w:spacing w:line="560" w:lineRule="exact"/>
        <w:jc w:val="left"/>
        <w:rPr>
          <w:rFonts w:eastAsia="仿宋_GB2312"/>
          <w:b/>
          <w:bCs/>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 xml:space="preserve">        </w:t>
      </w:r>
      <w:r>
        <w:rPr>
          <w:rFonts w:eastAsia="仿宋_GB2312"/>
          <w:b/>
          <w:bCs/>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4D288"/>
    <w:multiLevelType w:val="singleLevel"/>
    <w:tmpl w:val="F1E4D28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21192A"/>
    <w:rsid w:val="00323B43"/>
    <w:rsid w:val="003D37D8"/>
    <w:rsid w:val="004358AB"/>
    <w:rsid w:val="004E3FF4"/>
    <w:rsid w:val="005553BA"/>
    <w:rsid w:val="00593F6A"/>
    <w:rsid w:val="00602604"/>
    <w:rsid w:val="006464CA"/>
    <w:rsid w:val="0077734D"/>
    <w:rsid w:val="008047A5"/>
    <w:rsid w:val="00876195"/>
    <w:rsid w:val="008B7726"/>
    <w:rsid w:val="00B221AD"/>
    <w:rsid w:val="00C5239B"/>
    <w:rsid w:val="00CB1E75"/>
    <w:rsid w:val="00D84058"/>
    <w:rsid w:val="00E315E9"/>
    <w:rsid w:val="00E507B9"/>
    <w:rsid w:val="03895A0F"/>
    <w:rsid w:val="084D5491"/>
    <w:rsid w:val="0E8B4204"/>
    <w:rsid w:val="112059A7"/>
    <w:rsid w:val="13A51F45"/>
    <w:rsid w:val="2740376B"/>
    <w:rsid w:val="294E7B3F"/>
    <w:rsid w:val="2BF431B7"/>
    <w:rsid w:val="2DC35836"/>
    <w:rsid w:val="32842AEA"/>
    <w:rsid w:val="336A63B7"/>
    <w:rsid w:val="33F937A8"/>
    <w:rsid w:val="38F53876"/>
    <w:rsid w:val="3BE049AC"/>
    <w:rsid w:val="40571571"/>
    <w:rsid w:val="413D3D4D"/>
    <w:rsid w:val="41A577AB"/>
    <w:rsid w:val="41DD6068"/>
    <w:rsid w:val="45727BC2"/>
    <w:rsid w:val="48C666CB"/>
    <w:rsid w:val="49D52883"/>
    <w:rsid w:val="49EC3315"/>
    <w:rsid w:val="4A1B5B5A"/>
    <w:rsid w:val="4FD43A98"/>
    <w:rsid w:val="510072EE"/>
    <w:rsid w:val="524E1D73"/>
    <w:rsid w:val="53252304"/>
    <w:rsid w:val="53A5135F"/>
    <w:rsid w:val="53BB4793"/>
    <w:rsid w:val="5907593C"/>
    <w:rsid w:val="597C2E7B"/>
    <w:rsid w:val="5A830486"/>
    <w:rsid w:val="5DFD216F"/>
    <w:rsid w:val="65263EE0"/>
    <w:rsid w:val="68777F44"/>
    <w:rsid w:val="6CBC13F7"/>
    <w:rsid w:val="6FDE6251"/>
    <w:rsid w:val="70FA4EA3"/>
    <w:rsid w:val="71E66D18"/>
    <w:rsid w:val="742A720B"/>
    <w:rsid w:val="759B56CC"/>
    <w:rsid w:val="77522D1C"/>
    <w:rsid w:val="7947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37767-04E3-45B3-82E9-D0D8694DBA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4627</Words>
  <Characters>4811</Characters>
  <Lines>36</Lines>
  <Paragraphs>10</Paragraphs>
  <TotalTime>0</TotalTime>
  <ScaleCrop>false</ScaleCrop>
  <LinksUpToDate>false</LinksUpToDate>
  <CharactersWithSpaces>4964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6624B6A827BF4DDBBA160E9F8B9F4B61</vt:lpwstr>
  </property>
</Properties>
</file>