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hint="eastAsia" w:eastAsia="方正小标宋简体"/>
          <w:bCs/>
          <w:color w:val="000000"/>
          <w:sz w:val="44"/>
          <w:szCs w:val="44"/>
        </w:rPr>
      </w:pPr>
      <w:r>
        <w:rPr>
          <w:rFonts w:hint="eastAsia" w:eastAsia="方正小标宋简体"/>
          <w:bCs/>
          <w:color w:val="000000"/>
          <w:sz w:val="44"/>
          <w:szCs w:val="44"/>
        </w:rPr>
        <w:t>醴陵市交通运输</w:t>
      </w:r>
      <w:r>
        <w:rPr>
          <w:rFonts w:eastAsia="方正小标宋简体"/>
          <w:bCs/>
          <w:color w:val="000000"/>
          <w:sz w:val="44"/>
          <w:szCs w:val="44"/>
        </w:rPr>
        <w:t>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600" w:lineRule="exact"/>
        <w:ind w:firstLine="640" w:firstLineChars="200"/>
        <w:rPr>
          <w:rFonts w:eastAsia="仿宋_GB2312"/>
          <w:color w:val="000000"/>
          <w:sz w:val="32"/>
          <w:szCs w:val="32"/>
        </w:rPr>
      </w:pPr>
      <w:r>
        <w:rPr>
          <w:rFonts w:eastAsia="仿宋_GB2312"/>
          <w:color w:val="000000"/>
          <w:sz w:val="32"/>
          <w:szCs w:val="32"/>
        </w:rPr>
        <w:t>1、贯彻执行国家、省有关交通运输管理的法律、法规和方针、政策；承担涉及综合运输体系的规划协调工作，会同有关部门组织编制全市综合运输体系规划，指导交通运输枢纽规划和管理；指导交通运输行业有关体制改革工作。</w:t>
      </w:r>
    </w:p>
    <w:p>
      <w:pPr>
        <w:spacing w:line="600" w:lineRule="exact"/>
        <w:ind w:firstLine="640" w:firstLineChars="200"/>
        <w:rPr>
          <w:rFonts w:eastAsia="仿宋_GB2312"/>
          <w:sz w:val="32"/>
          <w:szCs w:val="32"/>
        </w:rPr>
      </w:pPr>
      <w:r>
        <w:rPr>
          <w:rFonts w:eastAsia="仿宋_GB2312"/>
          <w:sz w:val="32"/>
          <w:szCs w:val="32"/>
        </w:rPr>
        <w:t>2、组织拟定全市交通运输发展规划、产业政策和行业标准、规范并监督实施；参与拟定物流业发展规划、有关政策并监督实施；承担交通运输执法检查和监督。</w:t>
      </w:r>
    </w:p>
    <w:p>
      <w:pPr>
        <w:spacing w:line="600" w:lineRule="exact"/>
        <w:ind w:firstLine="640" w:firstLineChars="200"/>
        <w:rPr>
          <w:rFonts w:eastAsia="仿宋_GB2312"/>
          <w:sz w:val="32"/>
          <w:szCs w:val="32"/>
        </w:rPr>
      </w:pPr>
      <w:r>
        <w:rPr>
          <w:rFonts w:eastAsia="仿宋_GB2312"/>
          <w:sz w:val="32"/>
          <w:szCs w:val="32"/>
        </w:rPr>
        <w:t>3、承担道路运输市场监管责任。承担道路运输经营相关业务的管理。承担城乡客运及有关设施规划建设和管理工作，统一开发、利用和管理城区公共客运资源；承担出租车行业管理工作。</w:t>
      </w:r>
    </w:p>
    <w:p>
      <w:pPr>
        <w:spacing w:line="600" w:lineRule="exact"/>
        <w:ind w:firstLine="640" w:firstLineChars="200"/>
        <w:rPr>
          <w:rFonts w:eastAsia="仿宋_GB2312"/>
          <w:sz w:val="32"/>
          <w:szCs w:val="32"/>
        </w:rPr>
      </w:pPr>
      <w:r>
        <w:rPr>
          <w:rFonts w:eastAsia="仿宋_GB2312"/>
          <w:sz w:val="32"/>
          <w:szCs w:val="32"/>
        </w:rPr>
        <w:t>4、承担公路路政、航政管理。承担规划、审批公路两侧规定范围内各种构造物和广告宣传等设施；参与对公路两侧新建村镇、开发区等规划管理；会同有关部门承担河道采砂监督管理工作；承担公路、桥梁、渡口、隧道的行业管理。</w:t>
      </w:r>
    </w:p>
    <w:p>
      <w:pPr>
        <w:spacing w:line="600" w:lineRule="exact"/>
        <w:ind w:firstLine="640" w:firstLineChars="200"/>
        <w:rPr>
          <w:rFonts w:eastAsia="仿宋_GB2312"/>
          <w:sz w:val="32"/>
          <w:szCs w:val="32"/>
        </w:rPr>
      </w:pPr>
      <w:r>
        <w:rPr>
          <w:rFonts w:eastAsia="仿宋_GB2312"/>
          <w:sz w:val="32"/>
          <w:szCs w:val="32"/>
        </w:rPr>
        <w:t>5、承担提出本级财政用于交通运输的专项资金安排方案；承担交通运输行业资本运作和交通建设资金的筹集，监督管理交通运输专项资金；提出涉及交通运输的财政、土地、价格等政策的建议。</w:t>
      </w:r>
    </w:p>
    <w:p>
      <w:pPr>
        <w:spacing w:line="600" w:lineRule="exact"/>
        <w:ind w:firstLine="640" w:firstLineChars="200"/>
        <w:rPr>
          <w:rFonts w:eastAsia="仿宋_GB2312"/>
          <w:sz w:val="32"/>
          <w:szCs w:val="32"/>
        </w:rPr>
      </w:pPr>
      <w:r>
        <w:rPr>
          <w:rFonts w:eastAsia="仿宋_GB2312"/>
          <w:sz w:val="32"/>
          <w:szCs w:val="32"/>
        </w:rPr>
        <w:t>6、承担全市公路、水路建设市场监管责任。组织实施国家、省重点和大中型公路、水路交通工程建设，监督管理公路、水路交通建设工程质量、造价、安全生产；指导交通运输基础设施管理和维护，承担有关重要设施的管理和维护。</w:t>
      </w:r>
    </w:p>
    <w:p>
      <w:pPr>
        <w:spacing w:line="600" w:lineRule="exact"/>
        <w:ind w:firstLine="640" w:firstLineChars="200"/>
        <w:rPr>
          <w:rFonts w:eastAsia="仿宋_GB2312"/>
          <w:sz w:val="32"/>
          <w:szCs w:val="32"/>
        </w:rPr>
      </w:pPr>
      <w:r>
        <w:rPr>
          <w:rFonts w:eastAsia="仿宋_GB2312"/>
          <w:sz w:val="32"/>
          <w:szCs w:val="32"/>
        </w:rPr>
        <w:t>7、指导全市公路、水路行业安全生产和应急管理工作。承担全市重点干线路网运行监测和协调，按规定组织协调全市重要物资和紧急客货运输；承担市国防动员交通战备有关工作。</w:t>
      </w:r>
    </w:p>
    <w:p>
      <w:pPr>
        <w:spacing w:line="600" w:lineRule="exact"/>
        <w:ind w:firstLine="640" w:firstLineChars="200"/>
        <w:rPr>
          <w:rFonts w:eastAsia="仿宋_GB2312"/>
          <w:color w:val="000000"/>
          <w:sz w:val="32"/>
          <w:szCs w:val="32"/>
        </w:rPr>
      </w:pPr>
      <w:r>
        <w:rPr>
          <w:rFonts w:eastAsia="仿宋_GB2312"/>
          <w:sz w:val="32"/>
          <w:szCs w:val="32"/>
        </w:rPr>
        <w:t>8、制定全市交通运输行业科技政策、规划和规范并监督实</w:t>
      </w:r>
      <w:r>
        <w:rPr>
          <w:rFonts w:eastAsia="仿宋_GB2312"/>
          <w:color w:val="000000"/>
          <w:sz w:val="32"/>
          <w:szCs w:val="32"/>
        </w:rPr>
        <w:t>施。承担全市交通运输信息化建设，监测分析运行情况，发布有关信息；指导交通运输行业环境保护和节能减排工作。</w:t>
      </w:r>
    </w:p>
    <w:p>
      <w:pPr>
        <w:tabs>
          <w:tab w:val="left" w:pos="7560"/>
        </w:tabs>
        <w:adjustRightInd w:val="0"/>
        <w:snapToGrid w:val="0"/>
        <w:spacing w:line="600" w:lineRule="exact"/>
        <w:ind w:firstLine="640" w:firstLineChars="200"/>
        <w:rPr>
          <w:rFonts w:eastAsia="黑体"/>
          <w:bCs/>
          <w:color w:val="000000"/>
          <w:sz w:val="32"/>
          <w:szCs w:val="32"/>
        </w:rPr>
      </w:pPr>
      <w:r>
        <w:rPr>
          <w:rFonts w:eastAsia="仿宋_GB2312"/>
          <w:color w:val="000000"/>
          <w:sz w:val="32"/>
          <w:szCs w:val="32"/>
        </w:rPr>
        <w:t>9、承办市人民政府交办的其他事项。</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widowControl/>
        <w:spacing w:line="600" w:lineRule="exact"/>
        <w:ind w:firstLine="640" w:firstLineChars="200"/>
        <w:rPr>
          <w:rFonts w:eastAsia="仿宋_GB2312"/>
          <w:bCs/>
          <w:kern w:val="0"/>
          <w:sz w:val="32"/>
          <w:szCs w:val="32"/>
        </w:rPr>
      </w:pPr>
      <w:r>
        <w:rPr>
          <w:rFonts w:eastAsia="仿宋_GB2312"/>
          <w:bCs/>
          <w:color w:val="000000" w:themeColor="text1"/>
          <w:sz w:val="32"/>
          <w:szCs w:val="32"/>
        </w:rPr>
        <w:t> </w:t>
      </w:r>
      <w:r>
        <w:rPr>
          <w:rFonts w:eastAsia="仿宋_GB2312"/>
          <w:color w:val="000000" w:themeColor="text1"/>
          <w:sz w:val="32"/>
          <w:szCs w:val="32"/>
        </w:rPr>
        <w:t>本部门共有编制人数</w:t>
      </w:r>
      <w:r>
        <w:rPr>
          <w:rFonts w:hint="eastAsia" w:eastAsia="仿宋_GB2312"/>
          <w:color w:val="000000" w:themeColor="text1"/>
          <w:sz w:val="32"/>
          <w:szCs w:val="32"/>
        </w:rPr>
        <w:t>190</w:t>
      </w:r>
      <w:r>
        <w:rPr>
          <w:rFonts w:eastAsia="仿宋_GB2312"/>
          <w:color w:val="000000" w:themeColor="text1"/>
          <w:sz w:val="32"/>
          <w:szCs w:val="32"/>
        </w:rPr>
        <w:t>人，实有人数</w:t>
      </w:r>
      <w:r>
        <w:rPr>
          <w:rFonts w:hint="eastAsia" w:eastAsia="仿宋_GB2312"/>
          <w:color w:val="000000" w:themeColor="text1"/>
          <w:sz w:val="32"/>
          <w:szCs w:val="32"/>
        </w:rPr>
        <w:t>173</w:t>
      </w:r>
      <w:r>
        <w:rPr>
          <w:rFonts w:eastAsia="仿宋_GB2312"/>
          <w:color w:val="000000" w:themeColor="text1"/>
          <w:sz w:val="32"/>
          <w:szCs w:val="32"/>
        </w:rPr>
        <w:t>人。内设股室</w:t>
      </w:r>
      <w:r>
        <w:rPr>
          <w:rFonts w:hint="eastAsia" w:eastAsia="仿宋_GB2312"/>
          <w:color w:val="000000" w:themeColor="text1"/>
          <w:sz w:val="32"/>
          <w:szCs w:val="32"/>
        </w:rPr>
        <w:t>8</w:t>
      </w:r>
      <w:r>
        <w:rPr>
          <w:rFonts w:eastAsia="仿宋_GB2312"/>
          <w:color w:val="000000" w:themeColor="text1"/>
          <w:sz w:val="32"/>
          <w:szCs w:val="32"/>
        </w:rPr>
        <w:t>个（含</w:t>
      </w:r>
      <w:r>
        <w:rPr>
          <w:rFonts w:hint="eastAsia" w:eastAsia="仿宋_GB2312"/>
          <w:color w:val="000000" w:themeColor="text1"/>
          <w:sz w:val="32"/>
          <w:szCs w:val="32"/>
        </w:rPr>
        <w:t>0</w:t>
      </w:r>
      <w:r>
        <w:rPr>
          <w:rFonts w:eastAsia="仿宋_GB2312"/>
          <w:color w:val="000000" w:themeColor="text1"/>
          <w:sz w:val="32"/>
          <w:szCs w:val="32"/>
        </w:rPr>
        <w:t>个正科级单位），分别为：</w:t>
      </w:r>
      <w:r>
        <w:rPr>
          <w:rFonts w:hint="eastAsia" w:ascii="仿宋_GB2312" w:hAnsi="宋体" w:eastAsia="仿宋_GB2312" w:cs="宋体"/>
          <w:kern w:val="0"/>
          <w:sz w:val="32"/>
          <w:szCs w:val="32"/>
        </w:rPr>
        <w:t>办公室、人事教育股、财务审计股、运输综合股、基建计划股、交通战备办、行政审批股、农村公路管理股；下设财政全额拨款二级机构4个，其中：副科级二级机构1个，是市交通运输综合服务中心，正股级二级机构3个分别是市航道管理站、市交通行政综合执法大队、市邮政业发展中心。</w:t>
      </w:r>
      <w:r>
        <w:rPr>
          <w:rFonts w:ascii="仿宋" w:hAnsi="仿宋" w:eastAsia="仿宋" w:cs="仿宋"/>
          <w:spacing w:val="14"/>
          <w:sz w:val="31"/>
          <w:szCs w:val="31"/>
        </w:rPr>
        <w:t>本</w:t>
      </w:r>
      <w:r>
        <w:rPr>
          <w:rFonts w:ascii="仿宋" w:hAnsi="仿宋" w:eastAsia="仿宋" w:cs="仿宋"/>
          <w:spacing w:val="8"/>
          <w:sz w:val="31"/>
          <w:szCs w:val="31"/>
        </w:rPr>
        <w:t>单</w:t>
      </w:r>
      <w:r>
        <w:rPr>
          <w:rFonts w:ascii="仿宋" w:hAnsi="仿宋" w:eastAsia="仿宋" w:cs="仿宋"/>
          <w:spacing w:val="7"/>
          <w:sz w:val="31"/>
          <w:szCs w:val="31"/>
        </w:rPr>
        <w:t>位无下属二级预算单位。</w:t>
      </w:r>
    </w:p>
    <w:p>
      <w:pPr>
        <w:tabs>
          <w:tab w:val="left" w:pos="7560"/>
        </w:tabs>
        <w:adjustRightInd w:val="0"/>
        <w:snapToGrid w:val="0"/>
        <w:spacing w:line="560" w:lineRule="exact"/>
        <w:ind w:firstLine="640" w:firstLineChars="200"/>
        <w:rPr>
          <w:rFonts w:eastAsia="仿宋_GB2312"/>
          <w:color w:val="FF0000"/>
          <w:sz w:val="32"/>
          <w:szCs w:val="32"/>
        </w:rPr>
      </w:pP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widowControl/>
        <w:shd w:val="clear" w:color="auto" w:fill="FFFFFF"/>
        <w:spacing w:line="560" w:lineRule="exact"/>
        <w:ind w:firstLine="682"/>
        <w:rPr>
          <w:rFonts w:eastAsia="仿宋_GB2312"/>
          <w:color w:val="000000"/>
          <w:kern w:val="0"/>
          <w:sz w:val="32"/>
          <w:szCs w:val="32"/>
        </w:rPr>
      </w:pPr>
      <w:r>
        <w:rPr>
          <w:rFonts w:eastAsia="仿宋_GB2312"/>
          <w:color w:val="000000"/>
          <w:sz w:val="32"/>
          <w:szCs w:val="32"/>
        </w:rPr>
        <w:t>2021年部门预算编报范围</w:t>
      </w:r>
      <w:r>
        <w:rPr>
          <w:rFonts w:hint="eastAsia" w:eastAsia="仿宋_GB2312"/>
          <w:color w:val="000000"/>
          <w:sz w:val="32"/>
          <w:szCs w:val="32"/>
        </w:rPr>
        <w:t>是</w:t>
      </w:r>
      <w:r>
        <w:rPr>
          <w:rFonts w:eastAsia="仿宋_GB2312"/>
          <w:color w:val="000000"/>
          <w:sz w:val="32"/>
          <w:szCs w:val="32"/>
        </w:rPr>
        <w:t>局机关。</w:t>
      </w:r>
      <w:r>
        <w:rPr>
          <w:rFonts w:eastAsia="仿宋_GB2312"/>
          <w:color w:val="000000"/>
          <w:kern w:val="0"/>
          <w:sz w:val="32"/>
          <w:szCs w:val="32"/>
        </w:rPr>
        <w:t>收入既包括公共预算收入，又包括</w:t>
      </w:r>
      <w:r>
        <w:rPr>
          <w:rFonts w:hint="eastAsia" w:eastAsia="仿宋_GB2312"/>
          <w:color w:val="000000"/>
          <w:kern w:val="0"/>
          <w:sz w:val="32"/>
          <w:szCs w:val="32"/>
        </w:rPr>
        <w:t>国有资源（资产）有偿使用收入、其他各项</w:t>
      </w:r>
      <w:r>
        <w:rPr>
          <w:rFonts w:eastAsia="仿宋_GB2312"/>
          <w:color w:val="000000"/>
          <w:kern w:val="0"/>
          <w:sz w:val="32"/>
          <w:szCs w:val="32"/>
        </w:rPr>
        <w:t>收入</w:t>
      </w:r>
      <w:r>
        <w:rPr>
          <w:rFonts w:hint="eastAsia" w:eastAsia="仿宋_GB2312"/>
          <w:color w:val="000000"/>
          <w:kern w:val="0"/>
          <w:sz w:val="32"/>
          <w:szCs w:val="32"/>
        </w:rPr>
        <w:t>和上级补助收入</w:t>
      </w:r>
      <w:r>
        <w:rPr>
          <w:rFonts w:eastAsia="仿宋_GB2312"/>
          <w:color w:val="000000"/>
          <w:kern w:val="0"/>
          <w:sz w:val="32"/>
          <w:szCs w:val="32"/>
        </w:rPr>
        <w:t>；支出既包括保障局机关及直属单位基本运行的经费，也包括</w:t>
      </w:r>
      <w:r>
        <w:rPr>
          <w:rFonts w:hint="eastAsia" w:eastAsia="仿宋_GB2312"/>
          <w:sz w:val="32"/>
          <w:szCs w:val="32"/>
        </w:rPr>
        <w:t>交通转移支付、</w:t>
      </w:r>
      <w:r>
        <w:rPr>
          <w:rFonts w:eastAsia="仿宋_GB2312"/>
          <w:color w:val="000000"/>
          <w:kern w:val="0"/>
          <w:sz w:val="32"/>
          <w:szCs w:val="32"/>
        </w:rPr>
        <w:t>道路运输经营许可证工本费、渡船经费、交通战备训练</w:t>
      </w:r>
      <w:r>
        <w:rPr>
          <w:rFonts w:hint="eastAsia" w:eastAsia="仿宋_GB2312"/>
          <w:color w:val="000000"/>
          <w:kern w:val="0"/>
          <w:sz w:val="32"/>
          <w:szCs w:val="32"/>
        </w:rPr>
        <w:t>、县乡公路养护</w:t>
      </w:r>
      <w:r>
        <w:rPr>
          <w:rFonts w:eastAsia="仿宋_GB2312"/>
          <w:color w:val="000000"/>
          <w:kern w:val="0"/>
          <w:sz w:val="32"/>
          <w:szCs w:val="32"/>
        </w:rPr>
        <w:t>等专项经费。</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本部门无下属预算单位</w:t>
      </w:r>
      <w:r>
        <w:rPr>
          <w:rFonts w:hint="eastAsia" w:eastAsia="仿宋_GB2312"/>
          <w:color w:val="000000"/>
          <w:kern w:val="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8226.71</w:t>
      </w:r>
      <w:r>
        <w:rPr>
          <w:rFonts w:eastAsia="仿宋_GB2312"/>
          <w:color w:val="000000"/>
          <w:sz w:val="32"/>
          <w:szCs w:val="32"/>
        </w:rPr>
        <w:t>万元，其中，一般公共预算拨款</w:t>
      </w:r>
      <w:r>
        <w:rPr>
          <w:rFonts w:hint="eastAsia" w:eastAsia="仿宋_GB2312"/>
          <w:color w:val="000000"/>
          <w:sz w:val="32"/>
          <w:szCs w:val="32"/>
        </w:rPr>
        <w:t>8226.71</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widowControl/>
        <w:shd w:val="clear" w:color="auto" w:fill="FFFFFF"/>
        <w:spacing w:line="560" w:lineRule="exact"/>
        <w:ind w:firstLine="682"/>
        <w:rPr>
          <w:rFonts w:eastAsia="仿宋_GB2312"/>
          <w:color w:val="000000"/>
          <w:kern w:val="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8226.71</w:t>
      </w:r>
      <w:r>
        <w:rPr>
          <w:rFonts w:eastAsia="仿宋_GB2312"/>
          <w:color w:val="000000"/>
          <w:sz w:val="32"/>
          <w:szCs w:val="32"/>
        </w:rPr>
        <w:t>万元，</w:t>
      </w:r>
      <w:r>
        <w:rPr>
          <w:rFonts w:eastAsia="仿宋_GB2312"/>
          <w:color w:val="000000"/>
          <w:kern w:val="0"/>
          <w:sz w:val="32"/>
          <w:szCs w:val="32"/>
        </w:rPr>
        <w:t>其中，</w:t>
      </w:r>
      <w:r>
        <w:rPr>
          <w:rFonts w:hint="eastAsia" w:eastAsia="仿宋_GB2312"/>
          <w:color w:val="000000"/>
          <w:kern w:val="0"/>
          <w:sz w:val="32"/>
          <w:szCs w:val="32"/>
        </w:rPr>
        <w:t>社会保障和就业支出4.05</w:t>
      </w:r>
      <w:r>
        <w:rPr>
          <w:rFonts w:eastAsia="仿宋_GB2312"/>
          <w:color w:val="000000"/>
          <w:kern w:val="0"/>
          <w:sz w:val="32"/>
          <w:szCs w:val="32"/>
        </w:rPr>
        <w:t>万元，</w:t>
      </w:r>
      <w:r>
        <w:rPr>
          <w:rFonts w:hint="eastAsia" w:eastAsia="仿宋_GB2312"/>
          <w:color w:val="000000"/>
          <w:kern w:val="0"/>
          <w:sz w:val="32"/>
          <w:szCs w:val="32"/>
        </w:rPr>
        <w:t>卫生健康支出63.91万元，交通运输支出8158.75万元</w:t>
      </w:r>
      <w:r>
        <w:rPr>
          <w:rFonts w:eastAsia="仿宋_GB2312"/>
          <w:color w:val="000000"/>
          <w:kern w:val="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hint="eastAsia"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2137.71</w:t>
      </w:r>
      <w:r>
        <w:rPr>
          <w:rFonts w:eastAsia="仿宋_GB2312"/>
          <w:color w:val="000000"/>
          <w:sz w:val="32"/>
          <w:szCs w:val="32"/>
        </w:rPr>
        <w:t>万元，</w:t>
      </w:r>
      <w:r>
        <w:rPr>
          <w:rFonts w:hint="eastAsia" w:eastAsia="仿宋_GB2312"/>
          <w:color w:val="000000"/>
          <w:sz w:val="32"/>
          <w:szCs w:val="32"/>
        </w:rPr>
        <w:t>是指为保障单位机构正常运转、完成日常工作任务而发生的各项支出，包括用于基本工资、津贴补贴等人员经费以及日常公用经费、工作性专项。</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6089</w:t>
      </w:r>
      <w:r>
        <w:rPr>
          <w:rFonts w:eastAsia="仿宋_GB2312"/>
          <w:color w:val="000000"/>
          <w:sz w:val="32"/>
          <w:szCs w:val="32"/>
        </w:rPr>
        <w:t>万元，其中：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道路运输许可证工本费</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制作道路运输业经营许可证、道路运输证及相关档案、纸质表等，以保障道路运输行业管理有序开展。</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县乡公路养护专项经费</w:t>
      </w:r>
      <w:r>
        <w:rPr>
          <w:rFonts w:eastAsia="仿宋_GB2312"/>
          <w:color w:val="000000"/>
          <w:sz w:val="32"/>
          <w:szCs w:val="32"/>
        </w:rPr>
        <w:t>专项</w:t>
      </w:r>
      <w:r>
        <w:rPr>
          <w:rFonts w:hint="eastAsia" w:eastAsia="仿宋_GB2312"/>
          <w:color w:val="000000"/>
          <w:sz w:val="32"/>
          <w:szCs w:val="32"/>
        </w:rPr>
        <w:t>869</w:t>
      </w:r>
      <w:r>
        <w:rPr>
          <w:rFonts w:eastAsia="仿宋_GB2312"/>
          <w:color w:val="000000"/>
          <w:sz w:val="32"/>
          <w:szCs w:val="32"/>
        </w:rPr>
        <w:t>万元。主要用于</w:t>
      </w:r>
      <w:r>
        <w:rPr>
          <w:rFonts w:hint="eastAsia" w:eastAsia="仿宋_GB2312"/>
          <w:color w:val="000000"/>
          <w:sz w:val="32"/>
          <w:szCs w:val="32"/>
        </w:rPr>
        <w:t>农村公路小修养护、应急抢险，确保我市农村公路安全畅通，消除安全隐患，延长道路使用寿命。</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（3）交通战备训练专项4万元。主要用于实兵实装演练，加强战备意识，提高交通运输保障能力，确保全市交通战备“平时服务，及时应急，战时应战”。</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（4）渡船经费专项30万元。主要用于核发渡工工资、慰问费；维修维护渡船、码头，保障水上交通各项工作顺利进行，确保全市水上交通安全。</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（5）水上安全视频监控工作经费专项7万元。主要用于实行科技治安，确保水上交通安全。</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（6）交通转移支付专项5174万元。主要用于完成交通转移支付安排的公路建设项目。</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8226.71</w:t>
      </w:r>
      <w:r>
        <w:rPr>
          <w:rFonts w:eastAsia="仿宋_GB2312"/>
          <w:color w:val="000000"/>
          <w:sz w:val="32"/>
          <w:szCs w:val="32"/>
        </w:rPr>
        <w:t>万元，比上年增加</w:t>
      </w:r>
      <w:r>
        <w:rPr>
          <w:rFonts w:hint="eastAsia" w:eastAsia="仿宋_GB2312"/>
          <w:color w:val="000000"/>
          <w:sz w:val="32"/>
          <w:szCs w:val="32"/>
        </w:rPr>
        <w:t>947.21</w:t>
      </w:r>
      <w:r>
        <w:rPr>
          <w:rFonts w:eastAsia="仿宋_GB2312"/>
          <w:color w:val="000000"/>
          <w:sz w:val="32"/>
          <w:szCs w:val="32"/>
        </w:rPr>
        <w:t>万元，主要原因是</w:t>
      </w:r>
      <w:r>
        <w:rPr>
          <w:rFonts w:hint="eastAsia" w:eastAsia="仿宋_GB2312"/>
          <w:color w:val="000000"/>
          <w:sz w:val="32"/>
          <w:szCs w:val="32"/>
        </w:rPr>
        <w:t>因机构改革，并入路政人员72人，</w:t>
      </w:r>
      <w:r>
        <w:rPr>
          <w:rFonts w:eastAsia="仿宋_GB2312"/>
          <w:color w:val="000000"/>
          <w:sz w:val="32"/>
          <w:szCs w:val="32"/>
        </w:rPr>
        <w:t>人员经费和运转经费</w:t>
      </w:r>
      <w:r>
        <w:rPr>
          <w:rFonts w:hint="eastAsia" w:eastAsia="仿宋_GB2312"/>
          <w:color w:val="000000"/>
          <w:sz w:val="32"/>
          <w:szCs w:val="32"/>
        </w:rPr>
        <w:t>相应上涨。</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624.98</w:t>
      </w:r>
      <w:r>
        <w:rPr>
          <w:rFonts w:eastAsia="仿宋_GB2312"/>
          <w:color w:val="000000"/>
          <w:sz w:val="32"/>
          <w:szCs w:val="32"/>
        </w:rPr>
        <w:t>万元，比上年度预算增加</w:t>
      </w:r>
      <w:r>
        <w:rPr>
          <w:rFonts w:hint="eastAsia" w:eastAsia="仿宋_GB2312"/>
          <w:color w:val="000000"/>
          <w:sz w:val="32"/>
          <w:szCs w:val="32"/>
        </w:rPr>
        <w:t>298.52</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color w:val="000000"/>
          <w:sz w:val="32"/>
          <w:szCs w:val="32"/>
        </w:rPr>
        <w:t>因机构改革，并入路政人员72人，经费相应增加。</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eastAsia="楷体_GB2312"/>
          <w:bCs/>
          <w:color w:val="000000" w:themeColor="text1"/>
          <w:sz w:val="32"/>
          <w:szCs w:val="32"/>
        </w:rPr>
        <w:t>（二)政府采购预算：</w:t>
      </w:r>
      <w:r>
        <w:rPr>
          <w:rFonts w:hint="eastAsia" w:eastAsia="仿宋_GB2312"/>
          <w:color w:val="000000" w:themeColor="text1"/>
          <w:sz w:val="32"/>
          <w:szCs w:val="32"/>
        </w:rPr>
        <w:t>2021</w:t>
      </w:r>
      <w:r>
        <w:rPr>
          <w:rFonts w:eastAsia="仿宋_GB2312"/>
          <w:color w:val="000000" w:themeColor="text1"/>
          <w:sz w:val="32"/>
          <w:szCs w:val="32"/>
        </w:rPr>
        <w:t>年年初预算数为</w:t>
      </w:r>
      <w:r>
        <w:rPr>
          <w:rFonts w:hint="eastAsia" w:eastAsia="仿宋_GB2312"/>
          <w:color w:val="000000" w:themeColor="text1"/>
          <w:sz w:val="32"/>
          <w:szCs w:val="32"/>
        </w:rPr>
        <w:t>6692.9</w:t>
      </w:r>
      <w:r>
        <w:rPr>
          <w:rFonts w:eastAsia="仿宋_GB2312"/>
          <w:color w:val="000000" w:themeColor="text1"/>
          <w:sz w:val="32"/>
          <w:szCs w:val="32"/>
        </w:rPr>
        <w:t>万元。包含</w:t>
      </w:r>
      <w:r>
        <w:rPr>
          <w:rFonts w:hint="eastAsia" w:eastAsia="仿宋_GB2312"/>
          <w:color w:val="000000" w:themeColor="text1"/>
          <w:sz w:val="32"/>
          <w:szCs w:val="32"/>
        </w:rPr>
        <w:t>：货物类188.9</w:t>
      </w:r>
      <w:r>
        <w:rPr>
          <w:rFonts w:eastAsia="仿宋_GB2312"/>
          <w:color w:val="000000" w:themeColor="text1"/>
          <w:sz w:val="32"/>
          <w:szCs w:val="32"/>
        </w:rPr>
        <w:t>万元、</w:t>
      </w:r>
      <w:r>
        <w:rPr>
          <w:rFonts w:hint="eastAsia" w:eastAsia="仿宋_GB2312"/>
          <w:color w:val="000000" w:themeColor="text1"/>
          <w:sz w:val="32"/>
          <w:szCs w:val="32"/>
        </w:rPr>
        <w:t>工程类6000</w:t>
      </w:r>
      <w:r>
        <w:rPr>
          <w:rFonts w:eastAsia="仿宋_GB2312"/>
          <w:color w:val="000000" w:themeColor="text1"/>
          <w:sz w:val="32"/>
          <w:szCs w:val="32"/>
        </w:rPr>
        <w:t>万元</w:t>
      </w:r>
      <w:r>
        <w:rPr>
          <w:rFonts w:hint="eastAsia" w:eastAsia="仿宋_GB2312"/>
          <w:color w:val="000000" w:themeColor="text1"/>
          <w:sz w:val="32"/>
          <w:szCs w:val="32"/>
        </w:rPr>
        <w:t>、服务类504万元</w:t>
      </w:r>
      <w:r>
        <w:rPr>
          <w:rFonts w:eastAsia="仿宋_GB2312"/>
          <w:color w:val="000000" w:themeColor="text1"/>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eastAsia="仿宋_GB2312"/>
          <w:kern w:val="0"/>
          <w:sz w:val="32"/>
          <w:szCs w:val="32"/>
        </w:rPr>
        <w:t>9473.82</w:t>
      </w:r>
      <w:r>
        <w:rPr>
          <w:rFonts w:eastAsia="仿宋_GB2312"/>
          <w:color w:val="000000"/>
          <w:sz w:val="32"/>
          <w:szCs w:val="32"/>
        </w:rPr>
        <w:t>平方米；车辆</w:t>
      </w:r>
      <w:r>
        <w:rPr>
          <w:rFonts w:hint="eastAsia" w:eastAsia="仿宋_GB2312"/>
          <w:color w:val="000000"/>
          <w:sz w:val="32"/>
          <w:szCs w:val="32"/>
        </w:rPr>
        <w:t>2</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1</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8226.71</w:t>
      </w:r>
      <w:r>
        <w:rPr>
          <w:rFonts w:eastAsia="仿宋_GB2312"/>
          <w:color w:val="000000"/>
          <w:sz w:val="32"/>
          <w:szCs w:val="32"/>
        </w:rPr>
        <w:t>万元，其中，基本支出</w:t>
      </w:r>
      <w:r>
        <w:rPr>
          <w:rFonts w:hint="eastAsia" w:eastAsia="仿宋_GB2312"/>
          <w:color w:val="000000"/>
          <w:sz w:val="32"/>
          <w:szCs w:val="32"/>
        </w:rPr>
        <w:t>2137.71</w:t>
      </w:r>
      <w:r>
        <w:rPr>
          <w:rFonts w:eastAsia="仿宋_GB2312"/>
          <w:color w:val="000000"/>
          <w:sz w:val="32"/>
          <w:szCs w:val="32"/>
        </w:rPr>
        <w:t>万元，项目支出</w:t>
      </w:r>
      <w:r>
        <w:rPr>
          <w:rFonts w:hint="eastAsia" w:eastAsia="仿宋_GB2312"/>
          <w:color w:val="000000"/>
          <w:sz w:val="32"/>
          <w:szCs w:val="32"/>
        </w:rPr>
        <w:t>6089</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6.5</w:t>
      </w:r>
      <w:r>
        <w:rPr>
          <w:rFonts w:eastAsia="仿宋_GB2312"/>
          <w:color w:val="000000"/>
          <w:sz w:val="32"/>
          <w:szCs w:val="32"/>
        </w:rPr>
        <w:t>万元，其中：公务接待费</w:t>
      </w:r>
      <w:r>
        <w:rPr>
          <w:rFonts w:hint="eastAsia" w:eastAsia="仿宋_GB2312"/>
          <w:color w:val="000000"/>
          <w:sz w:val="32"/>
          <w:szCs w:val="32"/>
        </w:rPr>
        <w:t>2.5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4</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hint="eastAsia" w:eastAsia="仿宋_GB2312"/>
          <w:color w:val="000000"/>
          <w:sz w:val="32"/>
          <w:szCs w:val="32"/>
        </w:rPr>
        <w:t xml:space="preserve">。       </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年增加</w:t>
      </w:r>
      <w:r>
        <w:rPr>
          <w:rFonts w:hint="eastAsia" w:eastAsia="仿宋_GB2312"/>
          <w:color w:val="000000"/>
          <w:sz w:val="32"/>
          <w:szCs w:val="32"/>
        </w:rPr>
        <w:t>0.45</w:t>
      </w:r>
      <w:r>
        <w:rPr>
          <w:rFonts w:eastAsia="仿宋_GB2312"/>
          <w:color w:val="000000"/>
          <w:sz w:val="32"/>
          <w:szCs w:val="32"/>
        </w:rPr>
        <w:t>万元，主要是因为</w:t>
      </w:r>
      <w:r>
        <w:rPr>
          <w:rFonts w:hint="eastAsia" w:eastAsia="仿宋_GB2312"/>
          <w:color w:val="000000"/>
          <w:sz w:val="32"/>
          <w:szCs w:val="32"/>
        </w:rPr>
        <w:t>机构改革，并入路政人员72人，经费相应增加</w:t>
      </w:r>
      <w:r>
        <w:rPr>
          <w:rFonts w:eastAsia="仿宋_GB2312"/>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600" w:lineRule="exact"/>
        <w:ind w:firstLine="640" w:firstLineChars="200"/>
        <w:rPr>
          <w:rFonts w:eastAsia="仿宋_GB2312"/>
          <w:color w:val="000000"/>
          <w:sz w:val="32"/>
          <w:szCs w:val="32"/>
        </w:rPr>
      </w:pPr>
      <w:r>
        <w:rPr>
          <w:rFonts w:eastAsia="楷体_GB2312"/>
          <w:bCs/>
          <w:color w:val="000000"/>
          <w:sz w:val="32"/>
          <w:szCs w:val="32"/>
        </w:rPr>
        <w:t>（七）其他事项。</w:t>
      </w:r>
      <w:r>
        <w:rPr>
          <w:rFonts w:eastAsia="仿宋_GB2312"/>
          <w:color w:val="000000"/>
          <w:sz w:val="32"/>
          <w:szCs w:val="32"/>
        </w:rPr>
        <w:t>本单位2019年预算未安排政府性基金预算；未安排纳入专户管理的非税收入拨款预算。</w:t>
      </w:r>
      <w:r>
        <w:rPr>
          <w:rFonts w:eastAsia="仿宋_GB2312"/>
          <w:sz w:val="32"/>
          <w:szCs w:val="32"/>
        </w:rPr>
        <w:t>本</w:t>
      </w:r>
      <w:r>
        <w:rPr>
          <w:rFonts w:hint="eastAsia" w:eastAsia="仿宋_GB2312"/>
          <w:sz w:val="32"/>
          <w:szCs w:val="32"/>
        </w:rPr>
        <w:t>单位</w:t>
      </w:r>
      <w:r>
        <w:rPr>
          <w:rFonts w:eastAsia="仿宋_GB2312"/>
          <w:sz w:val="32"/>
          <w:szCs w:val="32"/>
        </w:rPr>
        <w:t>无门户网站，在政府网</w:t>
      </w:r>
      <w:r>
        <w:rPr>
          <w:rFonts w:hint="eastAsia" w:eastAsia="仿宋_GB2312"/>
          <w:sz w:val="32"/>
          <w:szCs w:val="32"/>
        </w:rPr>
        <w:t>站</w:t>
      </w:r>
      <w:r>
        <w:rPr>
          <w:rFonts w:eastAsia="仿宋_GB2312"/>
          <w:sz w:val="32"/>
          <w:szCs w:val="32"/>
        </w:rPr>
        <w:t>统一公开</w:t>
      </w:r>
      <w:r>
        <w:rPr>
          <w:rFonts w:hint="eastAsia" w:eastAsia="仿宋_GB2312"/>
          <w:sz w:val="32"/>
          <w:szCs w:val="32"/>
        </w:rPr>
        <w:t>。</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FB2C6"/>
    <w:multiLevelType w:val="singleLevel"/>
    <w:tmpl w:val="7D1FB2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C01A6"/>
    <w:rsid w:val="002F585E"/>
    <w:rsid w:val="00323B43"/>
    <w:rsid w:val="00341092"/>
    <w:rsid w:val="00370C06"/>
    <w:rsid w:val="00387A07"/>
    <w:rsid w:val="003D37D8"/>
    <w:rsid w:val="00406BE9"/>
    <w:rsid w:val="004358AB"/>
    <w:rsid w:val="004E6114"/>
    <w:rsid w:val="005553BA"/>
    <w:rsid w:val="005B770A"/>
    <w:rsid w:val="006464CA"/>
    <w:rsid w:val="00683051"/>
    <w:rsid w:val="006C34BB"/>
    <w:rsid w:val="006E068F"/>
    <w:rsid w:val="006F2BA8"/>
    <w:rsid w:val="00735768"/>
    <w:rsid w:val="0077734D"/>
    <w:rsid w:val="00825D05"/>
    <w:rsid w:val="008B7726"/>
    <w:rsid w:val="009C0C41"/>
    <w:rsid w:val="00B221AD"/>
    <w:rsid w:val="00BD3FDD"/>
    <w:rsid w:val="00C20871"/>
    <w:rsid w:val="00C4657B"/>
    <w:rsid w:val="00CB1E75"/>
    <w:rsid w:val="00CE093C"/>
    <w:rsid w:val="00D737C8"/>
    <w:rsid w:val="00D84058"/>
    <w:rsid w:val="00DD4230"/>
    <w:rsid w:val="00E05445"/>
    <w:rsid w:val="00E315E9"/>
    <w:rsid w:val="00E35526"/>
    <w:rsid w:val="00F15C3D"/>
    <w:rsid w:val="1F9B0212"/>
    <w:rsid w:val="27036EF6"/>
    <w:rsid w:val="496C4A3A"/>
    <w:rsid w:val="4CF342AD"/>
    <w:rsid w:val="6CCE45F3"/>
    <w:rsid w:val="6F8B7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5E343-A89D-43E9-93F0-07CB390A2B57}">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Pages>
  <Words>3553</Words>
  <Characters>3777</Characters>
  <Lines>27</Lines>
  <Paragraphs>7</Paragraphs>
  <TotalTime>0</TotalTime>
  <ScaleCrop>false</ScaleCrop>
  <LinksUpToDate>false</LinksUpToDate>
  <CharactersWithSpaces>3798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2022-09-12T12:44:17Z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1C77057AB15649DEAF5B7A69D7CC1451</vt:lpwstr>
  </property>
</Properties>
</file>