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醴陵市行政审批服务局</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center"/>
        <w:rPr>
          <w:rFonts w:eastAsia="楷体_GB2312"/>
          <w:b/>
          <w:color w:val="000000"/>
          <w:sz w:val="32"/>
          <w:szCs w:val="32"/>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（一）负责指导、协调、推进全市行政审批制度改革工作。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（二）负责市集中统一办事大厅标准化、规范化建设以及进驻部门和人员的日常管理、培训和监督工作。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（三）统筹协调、监督评估全市政府系统电子政务信息化建设工作；统筹推进、监督协调全市“互联网+政务服务”工作。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（四）负责本级审批权限重点项目的综合协调、监督工作。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（五）协调推进全市“放管服”改革工作，维护营商政务、法制等环境，协调推进全市行政效能工作。</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（六）完成市委和市人民政府交办的其他任务。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本部门共有编制人数27人，实有人数</w:t>
      </w:r>
      <w:r>
        <w:rPr>
          <w:rFonts w:hint="eastAsia" w:eastAsia="仿宋_GB2312"/>
          <w:color w:val="000000"/>
          <w:sz w:val="32"/>
          <w:szCs w:val="32"/>
        </w:rPr>
        <w:t>1</w:t>
      </w:r>
      <w:r>
        <w:rPr>
          <w:rFonts w:eastAsia="仿宋_GB2312"/>
          <w:color w:val="000000"/>
          <w:sz w:val="32"/>
          <w:szCs w:val="32"/>
        </w:rPr>
        <w:t>4人。内设股室6个，分别为：</w:t>
      </w:r>
      <w:r>
        <w:rPr>
          <w:rFonts w:hint="eastAsia" w:eastAsia="仿宋_GB2312"/>
          <w:color w:val="000000"/>
          <w:sz w:val="32"/>
          <w:szCs w:val="32"/>
        </w:rPr>
        <w:t>办公室、审批改革股、监督管理股、运行保障股、窗口服务股、综合协调</w:t>
      </w:r>
      <w:r>
        <w:rPr>
          <w:rFonts w:eastAsia="仿宋_GB2312"/>
          <w:color w:val="000000"/>
          <w:sz w:val="32"/>
          <w:szCs w:val="32"/>
        </w:rPr>
        <w:t>股，本部门下属事业单位分别为市政务服务中心和市优化营商环境协调事务中心。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本部门无下属二级预算单位。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2021年部门预算编报范围包括局机关。收入全部为一般公共预算收入；支出既包括保障局机关及直属单位基本运行的经费，也包括</w:t>
      </w:r>
      <w:r>
        <w:rPr>
          <w:rFonts w:hint="eastAsia" w:eastAsia="仿宋_GB2312"/>
          <w:color w:val="000000"/>
          <w:sz w:val="32"/>
          <w:szCs w:val="32"/>
        </w:rPr>
        <w:t>市民中心运转和网络运营等专项经费</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年年初预算数1878.12万元，其中，一般公共预算拨款1878.12万元；因上年结转数暂未最终确定，本年度收支预算中均不含上年结转数字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年年初预算数1878.12万元，其中，一般公共服务支出1855.30万元，</w:t>
      </w:r>
      <w:r>
        <w:rPr>
          <w:rFonts w:hint="eastAsia" w:eastAsia="仿宋_GB2312"/>
          <w:color w:val="000000"/>
          <w:sz w:val="32"/>
          <w:szCs w:val="32"/>
        </w:rPr>
        <w:t>卫生健康支出</w:t>
      </w:r>
      <w:r>
        <w:rPr>
          <w:rFonts w:eastAsia="仿宋_GB2312"/>
          <w:color w:val="000000"/>
          <w:sz w:val="32"/>
          <w:szCs w:val="32"/>
        </w:rPr>
        <w:t>22.82万元。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年年初预算数为1196.90万元，是指为保障单位机构正常运转、完成日常工作任务而发生的各项支出，包括用于基本工资、津贴补贴等人员经费以及日常公用经费、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bookmarkStart w:id="0" w:name="_GoBack"/>
      <w:bookmarkEnd w:id="0"/>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年年初预算数为681.22万元，是指单位为完成特定行政工作任务或事业发展目标而发生的支出，包括有关事业发展专项、基本建设支出、资本性支出等。其中：</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便民服务费</w:t>
      </w:r>
      <w:r>
        <w:rPr>
          <w:rFonts w:eastAsia="仿宋_GB2312"/>
          <w:color w:val="000000"/>
          <w:sz w:val="32"/>
          <w:szCs w:val="32"/>
        </w:rPr>
        <w:t>专项25万元。主要用于</w:t>
      </w:r>
      <w:r>
        <w:rPr>
          <w:rFonts w:hint="eastAsia" w:eastAsia="仿宋_GB2312"/>
          <w:color w:val="000000"/>
          <w:sz w:val="32"/>
          <w:szCs w:val="32"/>
        </w:rPr>
        <w:t>EMS免费送达证照和新设立企业免费刻制印章。</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w:t>
      </w:r>
      <w:r>
        <w:rPr>
          <w:rFonts w:hint="eastAsia" w:eastAsia="仿宋_GB2312"/>
          <w:color w:val="000000"/>
          <w:sz w:val="32"/>
          <w:szCs w:val="32"/>
        </w:rPr>
        <w:t>市民中心网络运营及信息化支撑</w:t>
      </w:r>
      <w:r>
        <w:rPr>
          <w:rFonts w:eastAsia="仿宋_GB2312"/>
          <w:color w:val="000000"/>
          <w:sz w:val="32"/>
          <w:szCs w:val="32"/>
        </w:rPr>
        <w:t>专项92.42万元。主要用于</w:t>
      </w:r>
      <w:r>
        <w:rPr>
          <w:rFonts w:hint="eastAsia" w:eastAsia="仿宋_GB2312"/>
          <w:color w:val="000000"/>
          <w:sz w:val="32"/>
          <w:szCs w:val="32"/>
        </w:rPr>
        <w:t>市民中心网络运营及“互联网+政务服务”四级联动系统建设。</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市民中心物业费</w:t>
      </w:r>
      <w:r>
        <w:rPr>
          <w:rFonts w:eastAsia="仿宋_GB2312"/>
          <w:color w:val="000000"/>
          <w:sz w:val="32"/>
          <w:szCs w:val="32"/>
        </w:rPr>
        <w:t>专项558.80万元。主要用于支付市民中心物业服务费用</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“一门式”系统软件维护费5</w:t>
      </w:r>
      <w:r>
        <w:rPr>
          <w:rFonts w:eastAsia="仿宋_GB2312"/>
          <w:color w:val="000000"/>
          <w:sz w:val="32"/>
          <w:szCs w:val="32"/>
        </w:rPr>
        <w:t>万元。主要用于</w:t>
      </w:r>
      <w:r>
        <w:rPr>
          <w:rFonts w:hint="eastAsia" w:eastAsia="仿宋_GB2312"/>
          <w:color w:val="000000"/>
          <w:sz w:val="32"/>
          <w:szCs w:val="32"/>
        </w:rPr>
        <w:t>“一门式”系统维护。</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年度本单位年初预算数为1878.12万元，比上年增加710.87万元，主要原因是市民中心物业费</w:t>
      </w:r>
      <w:r>
        <w:rPr>
          <w:rFonts w:hint="eastAsia" w:eastAsia="仿宋_GB2312"/>
          <w:color w:val="000000"/>
          <w:sz w:val="32"/>
          <w:szCs w:val="32"/>
        </w:rPr>
        <w:t>558.80万元纳入本单位预算，推进“一件事一次办”改革和“互联网+政务服务”、“一门式政务”工作需要。</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专项)共安排870.78万元，比上年度预算增加</w:t>
      </w:r>
      <w:r>
        <w:rPr>
          <w:rFonts w:hint="eastAsia" w:eastAsia="仿宋_GB2312"/>
          <w:color w:val="000000"/>
          <w:sz w:val="32"/>
          <w:szCs w:val="32"/>
        </w:rPr>
        <w:t>7</w:t>
      </w:r>
      <w:r>
        <w:rPr>
          <w:rFonts w:eastAsia="仿宋_GB2312"/>
          <w:color w:val="000000"/>
          <w:sz w:val="32"/>
          <w:szCs w:val="32"/>
        </w:rPr>
        <w:t>79.71万元，</w:t>
      </w:r>
      <w:r>
        <w:rPr>
          <w:rFonts w:eastAsia="仿宋_GB2312"/>
          <w:bCs/>
          <w:color w:val="000000"/>
          <w:sz w:val="32"/>
          <w:szCs w:val="32"/>
        </w:rPr>
        <w:t>增加的主要原因是：市民中心人员运转经费本年纳入</w:t>
      </w:r>
      <w:r>
        <w:rPr>
          <w:rFonts w:hint="eastAsia" w:eastAsia="仿宋_GB2312"/>
          <w:bCs/>
          <w:color w:val="000000"/>
          <w:sz w:val="32"/>
          <w:szCs w:val="32"/>
        </w:rPr>
        <w:t>工作性专项。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822.71</w:t>
      </w:r>
      <w:r>
        <w:rPr>
          <w:rFonts w:eastAsia="仿宋_GB2312"/>
          <w:color w:val="000000"/>
          <w:sz w:val="32"/>
          <w:szCs w:val="32"/>
        </w:rPr>
        <w:t>万元。包含：</w:t>
      </w:r>
      <w:r>
        <w:rPr>
          <w:rFonts w:hint="eastAsia" w:eastAsia="仿宋_GB2312"/>
          <w:color w:val="000000"/>
          <w:sz w:val="32"/>
          <w:szCs w:val="32"/>
        </w:rPr>
        <w:t>政府采购货物187.75 万元、物业管理费558.80</w:t>
      </w:r>
      <w:r>
        <w:rPr>
          <w:rFonts w:eastAsia="仿宋_GB2312"/>
          <w:color w:val="000000"/>
          <w:sz w:val="32"/>
          <w:szCs w:val="32"/>
        </w:rPr>
        <w:t>万元、</w:t>
      </w:r>
      <w:r>
        <w:rPr>
          <w:rFonts w:hint="eastAsia" w:eastAsia="仿宋_GB2312"/>
          <w:color w:val="000000"/>
          <w:sz w:val="32"/>
          <w:szCs w:val="32"/>
        </w:rPr>
        <w:t>维修（护）费8万元、租赁费63.16万元、印刷费5</w:t>
      </w:r>
      <w:r>
        <w:rPr>
          <w:rFonts w:eastAsia="仿宋_GB2312"/>
          <w:color w:val="000000"/>
          <w:sz w:val="32"/>
          <w:szCs w:val="32"/>
        </w:rPr>
        <w:t>万元等。</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年12月31日，本部门共有办公及业务用房20849.60平方米；车辆0辆；单位价值200万以上大型设备0套。202</w:t>
      </w:r>
      <w:r>
        <w:rPr>
          <w:rFonts w:hint="eastAsia" w:eastAsia="仿宋_GB2312"/>
          <w:color w:val="000000"/>
          <w:sz w:val="32"/>
          <w:szCs w:val="32"/>
        </w:rPr>
        <w:t>1</w:t>
      </w:r>
      <w:r>
        <w:rPr>
          <w:rFonts w:eastAsia="仿宋_GB2312"/>
          <w:color w:val="000000"/>
          <w:sz w:val="32"/>
          <w:szCs w:val="32"/>
        </w:rPr>
        <w:t>年部门预算安排购置车辆0辆，预算安排购置价值200万以上大型设备0套。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  1878.12万元，其中，基本支出1196.90万元，项目支出681.22万元（具体绩效目标详见附表）。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年“三公”经费预算数0.2万元，其中：公务接待费0.2万元、公务用车购置费0万元，公务用车运行费0万元、因公出国（境）费0万元。20</w:t>
      </w:r>
      <w:r>
        <w:rPr>
          <w:rFonts w:hint="eastAsia" w:eastAsia="仿宋_GB2312"/>
          <w:color w:val="000000"/>
          <w:sz w:val="32"/>
          <w:szCs w:val="32"/>
        </w:rPr>
        <w:t>21</w:t>
      </w:r>
      <w:r>
        <w:rPr>
          <w:rFonts w:eastAsia="仿宋_GB2312"/>
          <w:color w:val="000000"/>
          <w:sz w:val="32"/>
          <w:szCs w:val="32"/>
        </w:rPr>
        <w:t>年公务用车购置数0台</w:t>
      </w:r>
      <w:r>
        <w:rPr>
          <w:rFonts w:eastAsia="仿宋_GB2312"/>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年减少0.02万元，主要是因为厉行节约，严控“三公”经费支出。</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年预算安排会议费0.2万元。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年预算安排培训费1万元。</w:t>
      </w:r>
    </w:p>
    <w:p>
      <w:pPr>
        <w:tabs>
          <w:tab w:val="left" w:pos="7560"/>
        </w:tabs>
        <w:adjustRightInd w:val="0"/>
        <w:snapToGrid w:val="0"/>
        <w:spacing w:line="560" w:lineRule="exact"/>
        <w:ind w:firstLine="640" w:firstLineChars="200"/>
        <w:jc w:val="left"/>
        <w:rPr>
          <w:rFonts w:eastAsia="仿宋_GB2312"/>
          <w:b/>
          <w:bCs/>
          <w:color w:val="000000"/>
          <w:sz w:val="32"/>
          <w:szCs w:val="32"/>
          <w:highlight w:val="none"/>
        </w:rPr>
      </w:pPr>
      <w:r>
        <w:rPr>
          <w:rFonts w:eastAsia="楷体_GB2312"/>
          <w:bCs/>
          <w:color w:val="000000"/>
          <w:sz w:val="32"/>
          <w:szCs w:val="32"/>
          <w:highlight w:val="none"/>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rPr>
        <w:t>1.本单位202</w:t>
      </w:r>
      <w:r>
        <w:rPr>
          <w:rFonts w:eastAsia="仿宋_GB2312"/>
          <w:sz w:val="32"/>
          <w:szCs w:val="32"/>
        </w:rPr>
        <w:t>1</w:t>
      </w:r>
      <w:r>
        <w:rPr>
          <w:rFonts w:hint="eastAsia" w:eastAsia="仿宋_GB2312"/>
          <w:sz w:val="32"/>
          <w:szCs w:val="32"/>
        </w:rPr>
        <w:t>年预算未安排政府性基金预算</w:t>
      </w:r>
    </w:p>
    <w:p>
      <w:pPr>
        <w:tabs>
          <w:tab w:val="left" w:pos="7560"/>
        </w:tabs>
        <w:adjustRightInd w:val="0"/>
        <w:snapToGrid w:val="0"/>
        <w:spacing w:line="560" w:lineRule="exact"/>
        <w:ind w:firstLine="640" w:firstLineChars="200"/>
        <w:jc w:val="left"/>
        <w:rPr>
          <w:rFonts w:hint="eastAsia" w:eastAsia="仿宋_GB2312"/>
          <w:sz w:val="32"/>
          <w:szCs w:val="32"/>
        </w:rPr>
      </w:pPr>
      <w:r>
        <w:rPr>
          <w:rFonts w:hint="eastAsia" w:eastAsia="仿宋_GB2312"/>
          <w:sz w:val="32"/>
          <w:szCs w:val="32"/>
        </w:rPr>
        <w:t>2.本单位202</w:t>
      </w:r>
      <w:r>
        <w:rPr>
          <w:rFonts w:eastAsia="仿宋_GB2312"/>
          <w:sz w:val="32"/>
          <w:szCs w:val="32"/>
        </w:rPr>
        <w:t>1</w:t>
      </w:r>
      <w:r>
        <w:rPr>
          <w:rFonts w:hint="eastAsia" w:eastAsia="仿宋_GB2312"/>
          <w:sz w:val="32"/>
          <w:szCs w:val="32"/>
        </w:rPr>
        <w:t>年预算未安排纳入专户管理的非税收入拨款</w:t>
      </w:r>
    </w:p>
    <w:p>
      <w:pPr>
        <w:tabs>
          <w:tab w:val="left" w:pos="7560"/>
        </w:tabs>
        <w:adjustRightInd w:val="0"/>
        <w:snapToGrid w:val="0"/>
        <w:spacing w:line="560" w:lineRule="exact"/>
        <w:ind w:firstLine="640" w:firstLineChars="200"/>
        <w:jc w:val="left"/>
        <w:rPr>
          <w:rFonts w:hint="default" w:eastAsia="仿宋_GB2312"/>
          <w:sz w:val="32"/>
          <w:szCs w:val="32"/>
          <w:highlight w:val="none"/>
          <w:lang w:val="en-US" w:eastAsia="zh-CN"/>
        </w:rPr>
      </w:pPr>
      <w:r>
        <w:rPr>
          <w:rFonts w:hint="eastAsia" w:eastAsia="仿宋_GB2312"/>
          <w:sz w:val="32"/>
          <w:szCs w:val="32"/>
          <w:highlight w:val="none"/>
          <w:lang w:val="en-US" w:eastAsia="zh-CN"/>
        </w:rPr>
        <w:t>3.本单位2021年预算未安排对个人和家庭的补助</w:t>
      </w:r>
    </w:p>
    <w:p>
      <w:pPr>
        <w:tabs>
          <w:tab w:val="left" w:pos="7560"/>
        </w:tabs>
        <w:adjustRightInd w:val="0"/>
        <w:snapToGrid w:val="0"/>
        <w:spacing w:line="560" w:lineRule="exact"/>
        <w:ind w:firstLine="640" w:firstLineChars="200"/>
        <w:jc w:val="left"/>
        <w:rPr>
          <w:rFonts w:eastAsia="仿宋_GB2312"/>
          <w:sz w:val="32"/>
          <w:szCs w:val="32"/>
        </w:rPr>
      </w:pPr>
      <w:r>
        <w:rPr>
          <w:rFonts w:hint="eastAsia" w:eastAsia="仿宋_GB2312"/>
          <w:sz w:val="32"/>
          <w:szCs w:val="32"/>
          <w:lang w:val="en-US" w:eastAsia="zh-CN"/>
        </w:rPr>
        <w:t>4</w:t>
      </w:r>
      <w:r>
        <w:rPr>
          <w:rFonts w:hint="eastAsia" w:eastAsia="仿宋_GB2312"/>
          <w:sz w:val="32"/>
          <w:szCs w:val="32"/>
        </w:rPr>
        <w:t>.本单位无门户网站，已在政府网统一公开</w:t>
      </w: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eastAsia="仿宋_GB2312"/>
          <w:sz w:val="32"/>
          <w:szCs w:val="32"/>
        </w:rPr>
        <w:t xml:space="preserve">        </w:t>
      </w: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58"/>
    <w:rsid w:val="0016062E"/>
    <w:rsid w:val="002931CC"/>
    <w:rsid w:val="002E2DF6"/>
    <w:rsid w:val="00315170"/>
    <w:rsid w:val="00323B43"/>
    <w:rsid w:val="003A30DB"/>
    <w:rsid w:val="003D37D8"/>
    <w:rsid w:val="004358AB"/>
    <w:rsid w:val="004B62FF"/>
    <w:rsid w:val="00521705"/>
    <w:rsid w:val="005553BA"/>
    <w:rsid w:val="006464CA"/>
    <w:rsid w:val="006912D2"/>
    <w:rsid w:val="006C096A"/>
    <w:rsid w:val="007130A1"/>
    <w:rsid w:val="0077734D"/>
    <w:rsid w:val="00895681"/>
    <w:rsid w:val="008B7726"/>
    <w:rsid w:val="00933196"/>
    <w:rsid w:val="00AD7B3D"/>
    <w:rsid w:val="00AE29C8"/>
    <w:rsid w:val="00B221AD"/>
    <w:rsid w:val="00CA4850"/>
    <w:rsid w:val="00CB1E75"/>
    <w:rsid w:val="00CD45BE"/>
    <w:rsid w:val="00D17F1B"/>
    <w:rsid w:val="00D74CB0"/>
    <w:rsid w:val="00D84058"/>
    <w:rsid w:val="00E315E9"/>
    <w:rsid w:val="00FA6385"/>
    <w:rsid w:val="0D557D1F"/>
    <w:rsid w:val="374466D5"/>
    <w:rsid w:val="4D0C2B8B"/>
    <w:rsid w:val="742A5E6F"/>
    <w:rsid w:val="746A340B"/>
    <w:rsid w:val="7A842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kern w:val="2"/>
      <w:sz w:val="18"/>
      <w:szCs w:val="18"/>
    </w:rPr>
  </w:style>
  <w:style w:type="character" w:customStyle="1" w:styleId="7">
    <w:name w:val="页脚 Char"/>
    <w:basedOn w:val="5"/>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19A130-FE00-4635-999A-6BF537C8674A}">
  <ds:schemaRefs/>
</ds:datastoreItem>
</file>

<file path=docProps/app.xml><?xml version="1.0" encoding="utf-8"?>
<Properties xmlns="http://schemas.openxmlformats.org/officeDocument/2006/extended-properties" xmlns:vt="http://schemas.openxmlformats.org/officeDocument/2006/docPropsVTypes">
  <Template>Normal</Template>
  <Pages>8</Pages>
  <Words>482</Words>
  <Characters>2752</Characters>
  <Lines>22</Lines>
  <Paragraphs>6</Paragraphs>
  <TotalTime>15</TotalTime>
  <ScaleCrop>false</ScaleCrop>
  <LinksUpToDate>false</LinksUpToDate>
  <CharactersWithSpaces>3228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2021-03-23T07:14:00Z</dcterms:created>
  <dc:creator>null,null,总收发</dc:creator>
  <cp:lastModifiedBy>q</cp:lastModifiedBy>
  <dcterms:modified xsi:type="dcterms:W3CDTF">2022-09-12T12:46:42Z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