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黑体"/>
          <w:sz w:val="32"/>
          <w:szCs w:val="32"/>
        </w:rPr>
      </w:pPr>
      <w:r>
        <w:rPr>
          <w:rFonts w:hAnsi="黑体" w:eastAsia="黑体"/>
          <w:sz w:val="32"/>
          <w:szCs w:val="32"/>
        </w:rPr>
        <w:t>附件</w:t>
      </w:r>
      <w:r>
        <w:rPr>
          <w:rFonts w:eastAsia="黑体"/>
          <w:sz w:val="32"/>
          <w:szCs w:val="32"/>
        </w:rPr>
        <w:t>1</w:t>
      </w:r>
    </w:p>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仿宋_GB2312"/>
          <w:bCs/>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jc w:val="center"/>
        <w:textAlignment w:val="auto"/>
        <w:rPr>
          <w:rFonts w:hint="eastAsia" w:ascii="华文中宋" w:hAnsi="华文中宋" w:eastAsia="华文中宋" w:cs="华文中宋"/>
          <w:bCs/>
          <w:color w:val="000000"/>
          <w:sz w:val="44"/>
          <w:szCs w:val="44"/>
          <w:lang w:val="en-US" w:eastAsia="zh-CN"/>
        </w:rPr>
      </w:pPr>
      <w:r>
        <w:rPr>
          <w:rFonts w:hint="eastAsia" w:ascii="华文中宋" w:hAnsi="华文中宋" w:eastAsia="华文中宋" w:cs="华文中宋"/>
          <w:bCs/>
          <w:color w:val="000000"/>
          <w:sz w:val="44"/>
          <w:szCs w:val="44"/>
        </w:rPr>
        <w:t>醴陵市</w:t>
      </w:r>
      <w:r>
        <w:rPr>
          <w:rFonts w:hint="eastAsia" w:ascii="华文中宋" w:hAnsi="华文中宋" w:eastAsia="华文中宋" w:cs="华文中宋"/>
          <w:bCs/>
          <w:color w:val="000000"/>
          <w:sz w:val="44"/>
          <w:szCs w:val="44"/>
          <w:lang w:val="en-US" w:eastAsia="zh-CN"/>
        </w:rPr>
        <w:t>国瓷街道办事处</w:t>
      </w:r>
    </w:p>
    <w:p>
      <w:pPr>
        <w:keepNext w:val="0"/>
        <w:keepLines w:val="0"/>
        <w:pageBreakBefore w:val="0"/>
        <w:tabs>
          <w:tab w:val="left" w:pos="7560"/>
        </w:tabs>
        <w:kinsoku/>
        <w:wordWrap/>
        <w:overflowPunct/>
        <w:topLinePunct w:val="0"/>
        <w:autoSpaceDE/>
        <w:autoSpaceDN/>
        <w:bidi w:val="0"/>
        <w:adjustRightInd w:val="0"/>
        <w:snapToGrid w:val="0"/>
        <w:spacing w:line="560" w:lineRule="exact"/>
        <w:jc w:val="center"/>
        <w:textAlignment w:val="auto"/>
        <w:rPr>
          <w:rFonts w:eastAsia="方正小标宋简体"/>
          <w:bCs/>
          <w:color w:val="000000"/>
          <w:sz w:val="44"/>
          <w:szCs w:val="44"/>
        </w:rPr>
      </w:pPr>
      <w:r>
        <w:rPr>
          <w:rFonts w:hint="eastAsia" w:ascii="华文中宋" w:hAnsi="华文中宋" w:eastAsia="华文中宋" w:cs="华文中宋"/>
          <w:bCs/>
          <w:color w:val="000000"/>
          <w:sz w:val="44"/>
          <w:szCs w:val="44"/>
        </w:rPr>
        <w:t>2021年部门预算公开说明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jc w:val="center"/>
        <w:textAlignment w:val="auto"/>
        <w:rPr>
          <w:rFonts w:eastAsia="方正小标宋简体"/>
          <w:bCs/>
          <w:color w:val="000000"/>
          <w:sz w:val="44"/>
          <w:szCs w:val="44"/>
        </w:rPr>
      </w:pPr>
    </w:p>
    <w:p>
      <w:pPr>
        <w:keepNext w:val="0"/>
        <w:keepLines w:val="0"/>
        <w:pageBreakBefore w:val="0"/>
        <w:tabs>
          <w:tab w:val="left" w:pos="7560"/>
        </w:tabs>
        <w:kinsoku/>
        <w:wordWrap/>
        <w:overflowPunct/>
        <w:topLinePunct w:val="0"/>
        <w:autoSpaceDE/>
        <w:autoSpaceDN/>
        <w:bidi w:val="0"/>
        <w:adjustRightInd w:val="0"/>
        <w:snapToGrid w:val="0"/>
        <w:spacing w:line="560" w:lineRule="exact"/>
        <w:jc w:val="left"/>
        <w:textAlignment w:val="auto"/>
        <w:rPr>
          <w:rFonts w:eastAsia="仿宋_GB2312"/>
          <w:bCs/>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center"/>
        <w:textAlignment w:val="auto"/>
        <w:rPr>
          <w:rFonts w:eastAsia="黑体"/>
          <w:bCs/>
          <w:sz w:val="32"/>
          <w:szCs w:val="32"/>
        </w:rPr>
      </w:pPr>
      <w:r>
        <w:rPr>
          <w:rFonts w:hAnsi="黑体" w:eastAsia="黑体"/>
          <w:bCs/>
          <w:sz w:val="32"/>
          <w:szCs w:val="32"/>
        </w:rPr>
        <w:t>部门预算公开信息目录</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一、部门职能职责</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三、部门收支概况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（一）收入预算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w:t>
      </w:r>
      <w:r>
        <w:rPr>
          <w:rFonts w:hAnsi="仿宋_GB2312" w:eastAsia="仿宋_GB2312"/>
          <w:sz w:val="32"/>
          <w:szCs w:val="32"/>
        </w:rPr>
        <w:t>二）支出预算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（三）预算收支增减变化情况说明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四、其他重要事项情况说明</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（一）机关运行经费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（二）政府采购预算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（三）国有资产占有情况</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（四）预算绩效目标</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（六）会议费、培训费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（七）其他事项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六、部门预算公开表格</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（一）部门收支总表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（二）部门收入总表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（三）部门支出总表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（四）部门支出总表（分类）</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（十二）财政拨款收支总表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（十三）一般公共预算支出表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（十四）一般预算基本支出表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（二十一）政府性基金</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（二十三）专户</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（二十五）经费拨款预算表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（二十七）专项支出预算表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（二十九）部门整体支出绩效目标表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hAnsi="仿宋_GB2312" w:eastAsia="仿宋_GB2312"/>
          <w:sz w:val="32"/>
          <w:szCs w:val="32"/>
        </w:rPr>
        <w:t>（三十）单位专项支出方向绩效目标表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keepNext w:val="0"/>
        <w:keepLines w:val="0"/>
        <w:pageBreakBefore w:val="0"/>
        <w:widowControl/>
        <w:kinsoku/>
        <w:wordWrap/>
        <w:overflowPunct/>
        <w:topLinePunct w:val="0"/>
        <w:autoSpaceDE/>
        <w:autoSpaceDN/>
        <w:bidi w:val="0"/>
        <w:spacing w:line="560" w:lineRule="exact"/>
        <w:ind w:firstLine="640"/>
        <w:jc w:val="left"/>
        <w:textAlignment w:val="auto"/>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lang w:val="en-US" w:eastAsia="zh-CN"/>
        </w:rPr>
        <w:t>50</w:t>
      </w:r>
      <w:r>
        <w:rPr>
          <w:rFonts w:eastAsia="仿宋_GB2312"/>
          <w:color w:val="000000"/>
          <w:sz w:val="32"/>
          <w:szCs w:val="32"/>
        </w:rPr>
        <w:t>人，实有人数</w:t>
      </w:r>
      <w:r>
        <w:rPr>
          <w:rFonts w:hint="eastAsia" w:eastAsia="仿宋_GB2312"/>
          <w:color w:val="000000"/>
          <w:sz w:val="32"/>
          <w:szCs w:val="32"/>
          <w:lang w:val="en-US" w:eastAsia="zh-CN"/>
        </w:rPr>
        <w:t>50</w:t>
      </w:r>
      <w:r>
        <w:rPr>
          <w:rFonts w:eastAsia="仿宋_GB2312"/>
          <w:color w:val="000000"/>
          <w:sz w:val="32"/>
          <w:szCs w:val="32"/>
        </w:rPr>
        <w:t>人。内设</w:t>
      </w:r>
      <w:r>
        <w:rPr>
          <w:rFonts w:hint="eastAsia" w:eastAsia="仿宋_GB2312"/>
          <w:color w:val="000000"/>
          <w:sz w:val="32"/>
          <w:szCs w:val="32"/>
          <w:lang w:val="en-US" w:eastAsia="zh-CN"/>
        </w:rPr>
        <w:t>站所13</w:t>
      </w:r>
      <w:r>
        <w:rPr>
          <w:rFonts w:eastAsia="仿宋_GB2312"/>
          <w:color w:val="000000"/>
          <w:sz w:val="32"/>
          <w:szCs w:val="32"/>
        </w:rPr>
        <w:t>个，</w:t>
      </w:r>
      <w:r>
        <w:rPr>
          <w:rFonts w:hint="eastAsia" w:eastAsia="仿宋_GB2312"/>
          <w:color w:val="000000"/>
          <w:sz w:val="32"/>
          <w:szCs w:val="32"/>
          <w:lang w:val="en-US" w:eastAsia="zh-CN"/>
        </w:rPr>
        <w:t>分别是党政办、纪检监察室、党建站、财政所、重点办、产业办、综治办、卫计办、农业扶贫办、创建办、民政社保办、城管中队、查违控违中队。</w:t>
      </w:r>
      <w:r>
        <w:rPr>
          <w:rFonts w:hint="eastAsia" w:ascii="仿宋" w:eastAsia="仿宋" w:cs="仿宋"/>
          <w:bCs/>
          <w:color w:val="000000"/>
          <w:kern w:val="0"/>
          <w:sz w:val="32"/>
          <w:szCs w:val="32"/>
          <w:lang w:eastAsia="zh-CN"/>
        </w:rPr>
        <w:t>本单位无下属二级预算单位。</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shd w:val="clear" w:color="auto" w:fill="FFFFFF"/>
        <w:kinsoku/>
        <w:wordWrap/>
        <w:overflowPunct/>
        <w:topLinePunct w:val="0"/>
        <w:autoSpaceDE/>
        <w:autoSpaceDN/>
        <w:bidi w:val="0"/>
        <w:spacing w:line="560" w:lineRule="exact"/>
        <w:ind w:firstLine="682"/>
        <w:textAlignment w:val="auto"/>
        <w:rPr>
          <w:rFonts w:eastAsia="仿宋_GB2312"/>
          <w:color w:val="auto"/>
          <w:kern w:val="0"/>
          <w:sz w:val="32"/>
          <w:szCs w:val="32"/>
          <w:lang w:eastAsia="zh-Hans"/>
        </w:rPr>
      </w:pPr>
      <w:r>
        <w:rPr>
          <w:rFonts w:eastAsia="仿宋_GB2312"/>
          <w:color w:val="000000"/>
          <w:sz w:val="32"/>
          <w:szCs w:val="32"/>
        </w:rPr>
        <w:t>2021年部门预算编报范围包括</w:t>
      </w:r>
      <w:r>
        <w:rPr>
          <w:rFonts w:eastAsia="仿宋_GB2312"/>
          <w:color w:val="auto"/>
          <w:kern w:val="0"/>
          <w:sz w:val="32"/>
          <w:szCs w:val="32"/>
          <w:lang w:eastAsia="zh-Hans"/>
        </w:rPr>
        <w:t>包括</w:t>
      </w:r>
      <w:r>
        <w:rPr>
          <w:rFonts w:hint="eastAsia" w:eastAsia="仿宋_GB2312"/>
          <w:color w:val="auto"/>
          <w:kern w:val="0"/>
          <w:sz w:val="32"/>
          <w:szCs w:val="32"/>
          <w:lang w:val="en-US" w:eastAsia="zh-CN"/>
        </w:rPr>
        <w:t>国瓷街道办事处机关及其站所</w:t>
      </w:r>
      <w:r>
        <w:rPr>
          <w:rFonts w:hint="eastAsia" w:eastAsia="仿宋_GB2312"/>
          <w:color w:val="000000"/>
          <w:sz w:val="32"/>
          <w:szCs w:val="32"/>
        </w:rPr>
        <w:t>，</w:t>
      </w:r>
      <w:r>
        <w:rPr>
          <w:rFonts w:eastAsia="仿宋_GB2312"/>
          <w:bCs/>
          <w:color w:val="000000"/>
          <w:sz w:val="32"/>
          <w:szCs w:val="32"/>
        </w:rPr>
        <w:t>无下属二级预算单位</w:t>
      </w:r>
      <w:r>
        <w:rPr>
          <w:rFonts w:eastAsia="仿宋_GB2312"/>
          <w:color w:val="000000"/>
          <w:sz w:val="32"/>
          <w:szCs w:val="32"/>
        </w:rPr>
        <w:t>。</w:t>
      </w:r>
      <w:r>
        <w:rPr>
          <w:rFonts w:eastAsia="仿宋_GB2312"/>
          <w:color w:val="auto"/>
          <w:kern w:val="0"/>
          <w:sz w:val="32"/>
          <w:szCs w:val="32"/>
          <w:lang w:eastAsia="zh-Hans"/>
        </w:rPr>
        <w:t>收入既包括公共预算和政府性基金收入，又包括事业单位经营服务等收入；支出既包括保障</w:t>
      </w:r>
      <w:r>
        <w:rPr>
          <w:rFonts w:hint="eastAsia" w:eastAsia="仿宋_GB2312"/>
          <w:color w:val="auto"/>
          <w:kern w:val="0"/>
          <w:sz w:val="32"/>
          <w:szCs w:val="32"/>
          <w:lang w:val="en-US" w:eastAsia="zh-CN"/>
        </w:rPr>
        <w:t>街道办事处</w:t>
      </w:r>
      <w:r>
        <w:rPr>
          <w:rFonts w:eastAsia="仿宋_GB2312"/>
          <w:color w:val="auto"/>
          <w:kern w:val="0"/>
          <w:sz w:val="32"/>
          <w:szCs w:val="32"/>
          <w:lang w:eastAsia="zh-Hans"/>
        </w:rPr>
        <w:t>基本运行的经费，也包括</w:t>
      </w:r>
      <w:r>
        <w:rPr>
          <w:rFonts w:hint="eastAsia" w:eastAsia="仿宋_GB2312"/>
          <w:color w:val="auto"/>
          <w:kern w:val="0"/>
          <w:sz w:val="32"/>
          <w:szCs w:val="32"/>
          <w:lang w:val="en-US" w:eastAsia="zh-CN"/>
        </w:rPr>
        <w:t>扶贫</w:t>
      </w:r>
      <w:r>
        <w:rPr>
          <w:rFonts w:eastAsia="仿宋_GB2312"/>
          <w:color w:val="auto"/>
          <w:kern w:val="0"/>
          <w:sz w:val="32"/>
          <w:szCs w:val="32"/>
        </w:rPr>
        <w:t>、</w:t>
      </w:r>
      <w:r>
        <w:rPr>
          <w:rFonts w:hint="eastAsia" w:eastAsia="仿宋_GB2312"/>
          <w:color w:val="auto"/>
          <w:kern w:val="0"/>
          <w:sz w:val="32"/>
          <w:szCs w:val="32"/>
          <w:lang w:val="en-US" w:eastAsia="zh-CN"/>
        </w:rPr>
        <w:t>重点工程项目</w:t>
      </w:r>
      <w:r>
        <w:rPr>
          <w:rFonts w:eastAsia="仿宋_GB2312"/>
          <w:color w:val="auto"/>
          <w:kern w:val="0"/>
          <w:sz w:val="32"/>
          <w:szCs w:val="32"/>
        </w:rPr>
        <w:t>等</w:t>
      </w:r>
      <w:r>
        <w:rPr>
          <w:rFonts w:eastAsia="仿宋_GB2312"/>
          <w:color w:val="auto"/>
          <w:kern w:val="0"/>
          <w:sz w:val="32"/>
          <w:szCs w:val="32"/>
          <w:lang w:eastAsia="zh-Hans"/>
        </w:rPr>
        <w:t>专项经费。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455.67</w:t>
      </w:r>
      <w:r>
        <w:rPr>
          <w:rFonts w:eastAsia="仿宋_GB2312"/>
          <w:color w:val="000000"/>
          <w:sz w:val="32"/>
          <w:szCs w:val="32"/>
        </w:rPr>
        <w:t>万元，其中，一般公共预算拨款</w:t>
      </w:r>
      <w:r>
        <w:rPr>
          <w:rFonts w:hint="eastAsia" w:eastAsia="仿宋_GB2312"/>
          <w:color w:val="000000"/>
          <w:sz w:val="32"/>
          <w:szCs w:val="32"/>
          <w:lang w:val="en-US" w:eastAsia="zh-CN"/>
        </w:rPr>
        <w:t>455.67</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455.67</w:t>
      </w:r>
      <w:r>
        <w:rPr>
          <w:rFonts w:eastAsia="仿宋_GB2312"/>
          <w:color w:val="000000"/>
          <w:sz w:val="32"/>
          <w:szCs w:val="32"/>
        </w:rPr>
        <w:t>万元，其中，一般公共服务支出</w:t>
      </w:r>
      <w:r>
        <w:rPr>
          <w:rFonts w:hint="eastAsia" w:eastAsia="仿宋_GB2312"/>
          <w:color w:val="000000"/>
          <w:sz w:val="32"/>
          <w:szCs w:val="32"/>
          <w:lang w:val="en-US" w:eastAsia="zh-CN"/>
        </w:rPr>
        <w:t>420.36</w:t>
      </w:r>
      <w:r>
        <w:rPr>
          <w:rFonts w:eastAsia="仿宋_GB2312"/>
          <w:color w:val="000000"/>
          <w:sz w:val="32"/>
          <w:szCs w:val="32"/>
        </w:rPr>
        <w:t>万元，</w:t>
      </w:r>
      <w:r>
        <w:rPr>
          <w:rFonts w:hint="eastAsia" w:eastAsia="仿宋_GB2312"/>
          <w:color w:val="000000"/>
          <w:sz w:val="32"/>
          <w:szCs w:val="32"/>
        </w:rPr>
        <w:t>卫生健康支出</w:t>
      </w:r>
      <w:r>
        <w:rPr>
          <w:rFonts w:hint="eastAsia" w:eastAsia="仿宋_GB2312"/>
          <w:color w:val="000000"/>
          <w:sz w:val="32"/>
          <w:szCs w:val="32"/>
          <w:lang w:val="en-US" w:eastAsia="zh-CN"/>
        </w:rPr>
        <w:t>17</w:t>
      </w:r>
      <w:r>
        <w:rPr>
          <w:rFonts w:eastAsia="仿宋_GB2312"/>
          <w:color w:val="000000"/>
          <w:sz w:val="32"/>
          <w:szCs w:val="32"/>
        </w:rPr>
        <w:t>万元，</w:t>
      </w:r>
      <w:r>
        <w:rPr>
          <w:rFonts w:hint="eastAsia" w:eastAsia="仿宋_GB2312"/>
          <w:color w:val="000000"/>
          <w:sz w:val="32"/>
          <w:szCs w:val="32"/>
        </w:rPr>
        <w:t>城乡社区支出</w:t>
      </w:r>
      <w:r>
        <w:rPr>
          <w:rFonts w:hint="eastAsia" w:eastAsia="仿宋_GB2312"/>
          <w:color w:val="000000"/>
          <w:sz w:val="32"/>
          <w:szCs w:val="32"/>
          <w:lang w:val="en-US" w:eastAsia="zh-CN"/>
        </w:rPr>
        <w:t>18.31</w:t>
      </w:r>
      <w:r>
        <w:rPr>
          <w:rFonts w:eastAsia="仿宋_GB2312"/>
          <w:color w:val="000000"/>
          <w:sz w:val="32"/>
          <w:szCs w:val="32"/>
        </w:rPr>
        <w:t>万元，科学技术</w:t>
      </w:r>
      <w:r>
        <w:rPr>
          <w:rFonts w:hint="eastAsia" w:eastAsia="仿宋_GB2312"/>
          <w:color w:val="000000"/>
          <w:sz w:val="32"/>
          <w:szCs w:val="32"/>
          <w:lang w:val="en-US" w:eastAsia="zh-CN"/>
        </w:rPr>
        <w:t>0</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455.67</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lang w:val="en-US" w:eastAsia="zh-CN"/>
        </w:rPr>
        <w:t>工资福利支出371.33</w:t>
      </w:r>
      <w:r>
        <w:rPr>
          <w:rFonts w:eastAsia="仿宋_GB2312"/>
          <w:color w:val="000000"/>
          <w:sz w:val="32"/>
          <w:szCs w:val="32"/>
        </w:rPr>
        <w:t>万元、</w:t>
      </w:r>
      <w:r>
        <w:rPr>
          <w:rFonts w:hint="eastAsia" w:eastAsia="仿宋_GB2312"/>
          <w:color w:val="000000"/>
          <w:sz w:val="32"/>
          <w:szCs w:val="32"/>
          <w:lang w:val="en-US" w:eastAsia="zh-CN"/>
        </w:rPr>
        <w:t>一般商品和服务支出32.35</w:t>
      </w:r>
      <w:r>
        <w:rPr>
          <w:rFonts w:eastAsia="仿宋_GB2312"/>
          <w:color w:val="000000"/>
          <w:sz w:val="32"/>
          <w:szCs w:val="32"/>
        </w:rPr>
        <w:t>万元、</w:t>
      </w:r>
      <w:r>
        <w:rPr>
          <w:rFonts w:hint="eastAsia" w:eastAsia="仿宋_GB2312"/>
          <w:color w:val="000000"/>
          <w:sz w:val="32"/>
          <w:szCs w:val="32"/>
          <w:lang w:val="en-US" w:eastAsia="zh-CN"/>
        </w:rPr>
        <w:t>对个人和家庭的补助2.99</w:t>
      </w:r>
      <w:r>
        <w:rPr>
          <w:rFonts w:eastAsia="仿宋_GB2312"/>
          <w:color w:val="000000"/>
          <w:sz w:val="32"/>
          <w:szCs w:val="32"/>
        </w:rPr>
        <w:t>万元、</w:t>
      </w:r>
      <w:r>
        <w:rPr>
          <w:rFonts w:hint="eastAsia" w:eastAsia="仿宋_GB2312"/>
          <w:color w:val="000000"/>
          <w:sz w:val="32"/>
          <w:szCs w:val="32"/>
          <w:lang w:val="en-US" w:eastAsia="zh-CN"/>
        </w:rPr>
        <w:t>工作性专项49</w:t>
      </w:r>
      <w:r>
        <w:rPr>
          <w:rFonts w:eastAsia="仿宋_GB2312"/>
          <w:color w:val="000000"/>
          <w:sz w:val="32"/>
          <w:szCs w:val="32"/>
        </w:rPr>
        <w:t>万元。</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default" w:eastAsia="仿宋_GB2312"/>
          <w:color w:val="000000"/>
          <w:sz w:val="32"/>
          <w:szCs w:val="32"/>
          <w:lang w:val="en-US"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455.67</w:t>
      </w:r>
      <w:r>
        <w:rPr>
          <w:rFonts w:eastAsia="仿宋_GB2312"/>
          <w:color w:val="000000"/>
          <w:sz w:val="32"/>
          <w:szCs w:val="32"/>
        </w:rPr>
        <w:t>万元，比上年</w:t>
      </w:r>
      <w:r>
        <w:rPr>
          <w:rFonts w:hint="eastAsia" w:eastAsia="仿宋_GB2312"/>
          <w:color w:val="000000"/>
          <w:sz w:val="32"/>
          <w:szCs w:val="32"/>
          <w:lang w:val="en-US" w:eastAsia="zh-CN"/>
        </w:rPr>
        <w:t>减少50.74</w:t>
      </w:r>
      <w:r>
        <w:rPr>
          <w:rFonts w:eastAsia="仿宋_GB2312"/>
          <w:color w:val="000000"/>
          <w:sz w:val="32"/>
          <w:szCs w:val="32"/>
        </w:rPr>
        <w:t>万元，主要原因是</w:t>
      </w:r>
      <w:r>
        <w:rPr>
          <w:rFonts w:hint="eastAsia" w:eastAsia="仿宋_GB2312"/>
          <w:color w:val="000000"/>
          <w:sz w:val="32"/>
          <w:szCs w:val="32"/>
          <w:lang w:val="en-US" w:eastAsia="zh-CN"/>
        </w:rPr>
        <w:t>工资福利支出减少。</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widowControl/>
        <w:shd w:val="clear" w:color="auto" w:fill="FFFFFF"/>
        <w:tabs>
          <w:tab w:val="left" w:pos="1800"/>
          <w:tab w:val="left" w:pos="2220"/>
        </w:tabs>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kern w:val="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81.35</w:t>
      </w:r>
      <w:r>
        <w:rPr>
          <w:rFonts w:eastAsia="仿宋_GB2312"/>
          <w:color w:val="000000"/>
          <w:sz w:val="32"/>
          <w:szCs w:val="32"/>
        </w:rPr>
        <w:t>万元，比上年度预算增加</w:t>
      </w:r>
      <w:r>
        <w:rPr>
          <w:rFonts w:hint="eastAsia" w:eastAsia="仿宋_GB2312"/>
          <w:color w:val="000000"/>
          <w:sz w:val="32"/>
          <w:szCs w:val="32"/>
          <w:lang w:val="en-US" w:eastAsia="zh-CN"/>
        </w:rPr>
        <w:t>3.02</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val="en-US" w:eastAsia="zh-CN"/>
        </w:rPr>
        <w:t xml:space="preserve">物价上涨。                                                                                                                                                                                                                                                                                                                               </w:t>
      </w:r>
      <w:r>
        <w:rPr>
          <w:rFonts w:hint="eastAsia" w:eastAsia="楷体_GB2312"/>
          <w:bCs/>
          <w:color w:val="000000"/>
          <w:sz w:val="32"/>
          <w:szCs w:val="32"/>
          <w:lang w:val="en-US" w:eastAsia="zh-CN"/>
        </w:rPr>
        <w:t>（二）</w:t>
      </w:r>
      <w:r>
        <w:rPr>
          <w:rFonts w:eastAsia="楷体_GB2312"/>
          <w:bCs/>
          <w:color w:val="000000"/>
          <w:sz w:val="32"/>
          <w:szCs w:val="32"/>
        </w:rPr>
        <w:t>政府采购预算：</w:t>
      </w:r>
      <w:r>
        <w:rPr>
          <w:rFonts w:hint="eastAsia" w:eastAsia="仿宋_GB2312"/>
          <w:color w:val="auto"/>
          <w:kern w:val="0"/>
          <w:sz w:val="32"/>
          <w:szCs w:val="32"/>
        </w:rPr>
        <w:t>2021</w:t>
      </w:r>
      <w:r>
        <w:rPr>
          <w:rFonts w:hint="eastAsia" w:eastAsia="仿宋_GB2312"/>
          <w:color w:val="auto"/>
          <w:kern w:val="0"/>
          <w:sz w:val="32"/>
          <w:szCs w:val="32"/>
          <w:lang w:eastAsia="zh-Hans"/>
        </w:rPr>
        <w:t>年年初预算数为</w:t>
      </w:r>
      <w:r>
        <w:rPr>
          <w:rFonts w:hint="eastAsia" w:eastAsia="仿宋_GB2312"/>
          <w:color w:val="auto"/>
          <w:kern w:val="0"/>
          <w:sz w:val="32"/>
          <w:szCs w:val="32"/>
          <w:lang w:val="en-US" w:eastAsia="zh-CN"/>
        </w:rPr>
        <w:t>42</w:t>
      </w:r>
      <w:r>
        <w:rPr>
          <w:rFonts w:hint="eastAsia" w:eastAsia="仿宋_GB2312"/>
          <w:color w:val="auto"/>
          <w:kern w:val="0"/>
          <w:sz w:val="32"/>
          <w:szCs w:val="32"/>
          <w:lang w:eastAsia="zh-Hans"/>
        </w:rPr>
        <w:t>万元</w:t>
      </w:r>
      <w:r>
        <w:rPr>
          <w:rFonts w:hint="eastAsia" w:eastAsia="仿宋_GB2312"/>
          <w:color w:val="auto"/>
          <w:kern w:val="0"/>
          <w:sz w:val="32"/>
          <w:szCs w:val="32"/>
        </w:rPr>
        <w:t>。</w:t>
      </w:r>
      <w:r>
        <w:rPr>
          <w:rFonts w:hint="eastAsia" w:eastAsia="仿宋_GB2312"/>
          <w:color w:val="auto"/>
          <w:kern w:val="0"/>
          <w:sz w:val="32"/>
          <w:szCs w:val="32"/>
          <w:lang w:val="en-US" w:eastAsia="zh-CN"/>
        </w:rPr>
        <w:t>具体</w:t>
      </w:r>
      <w:r>
        <w:rPr>
          <w:rFonts w:hint="eastAsia" w:eastAsia="仿宋_GB2312"/>
          <w:color w:val="auto"/>
          <w:kern w:val="0"/>
          <w:sz w:val="32"/>
          <w:szCs w:val="32"/>
        </w:rPr>
        <w:t>包括：政府采购货物</w:t>
      </w:r>
      <w:r>
        <w:rPr>
          <w:rFonts w:hint="eastAsia" w:eastAsia="仿宋_GB2312"/>
          <w:color w:val="auto"/>
          <w:kern w:val="0"/>
          <w:sz w:val="32"/>
          <w:szCs w:val="32"/>
          <w:lang w:val="en-US" w:eastAsia="zh-CN"/>
        </w:rPr>
        <w:t>30</w:t>
      </w:r>
      <w:r>
        <w:rPr>
          <w:rFonts w:hint="eastAsia" w:eastAsia="仿宋_GB2312"/>
          <w:color w:val="auto"/>
          <w:kern w:val="0"/>
          <w:sz w:val="32"/>
          <w:szCs w:val="32"/>
        </w:rPr>
        <w:t>万元、政府采购服务</w:t>
      </w:r>
      <w:r>
        <w:rPr>
          <w:rFonts w:hint="eastAsia" w:eastAsia="仿宋_GB2312"/>
          <w:color w:val="auto"/>
          <w:kern w:val="0"/>
          <w:sz w:val="32"/>
          <w:szCs w:val="32"/>
          <w:lang w:val="en-US" w:eastAsia="zh-CN"/>
        </w:rPr>
        <w:t>12</w:t>
      </w:r>
      <w:r>
        <w:rPr>
          <w:rFonts w:hint="eastAsia" w:eastAsia="仿宋_GB2312"/>
          <w:color w:val="auto"/>
          <w:kern w:val="0"/>
          <w:sz w:val="32"/>
          <w:szCs w:val="32"/>
        </w:rPr>
        <w:t>万元</w:t>
      </w:r>
      <w:r>
        <w:rPr>
          <w:rFonts w:hint="eastAsia" w:eastAsia="仿宋_GB2312"/>
          <w:color w:val="auto"/>
          <w:kern w:val="0"/>
          <w:sz w:val="32"/>
          <w:szCs w:val="32"/>
          <w:lang w:eastAsia="zh-CN"/>
        </w:rPr>
        <w:t>。</w:t>
      </w:r>
    </w:p>
    <w:p>
      <w:pPr>
        <w:keepNext w:val="0"/>
        <w:keepLines w:val="0"/>
        <w:pageBreakBefore w:val="0"/>
        <w:widowControl/>
        <w:shd w:val="clear" w:color="auto" w:fill="FFFFFF"/>
        <w:tabs>
          <w:tab w:val="left" w:pos="1800"/>
          <w:tab w:val="left" w:pos="2220"/>
        </w:tabs>
        <w:kinsoku/>
        <w:wordWrap/>
        <w:overflowPunct/>
        <w:topLinePunct w:val="0"/>
        <w:autoSpaceDE/>
        <w:autoSpaceDN/>
        <w:bidi w:val="0"/>
        <w:spacing w:line="560" w:lineRule="exact"/>
        <w:ind w:firstLine="720"/>
        <w:jc w:val="left"/>
        <w:textAlignment w:val="auto"/>
        <w:rPr>
          <w:rFonts w:hint="eastAsia" w:eastAsia="仿宋_GB2312"/>
          <w:color w:val="auto"/>
          <w:kern w:val="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w:t>
      </w:r>
      <w:r>
        <w:rPr>
          <w:rFonts w:hint="eastAsia" w:eastAsia="仿宋_GB2312"/>
          <w:color w:val="auto"/>
          <w:kern w:val="0"/>
          <w:sz w:val="32"/>
          <w:szCs w:val="32"/>
        </w:rPr>
        <w:t>本部门共有办公及业务用房</w:t>
      </w:r>
      <w:r>
        <w:rPr>
          <w:rFonts w:hint="eastAsia" w:eastAsia="仿宋_GB2312"/>
          <w:color w:val="auto"/>
          <w:kern w:val="0"/>
          <w:sz w:val="32"/>
          <w:szCs w:val="32"/>
          <w:lang w:val="en-US" w:eastAsia="zh-CN"/>
        </w:rPr>
        <w:t>150</w:t>
      </w:r>
      <w:r>
        <w:rPr>
          <w:rFonts w:hint="eastAsia" w:eastAsia="仿宋_GB2312"/>
          <w:color w:val="auto"/>
          <w:kern w:val="0"/>
          <w:sz w:val="32"/>
          <w:szCs w:val="32"/>
        </w:rPr>
        <w:t xml:space="preserve">平方米；车辆 </w:t>
      </w:r>
      <w:r>
        <w:rPr>
          <w:rFonts w:hint="eastAsia" w:eastAsia="仿宋_GB2312"/>
          <w:color w:val="auto"/>
          <w:kern w:val="0"/>
          <w:sz w:val="32"/>
          <w:szCs w:val="32"/>
          <w:lang w:val="en-US" w:eastAsia="zh-CN"/>
        </w:rPr>
        <w:t>0</w:t>
      </w:r>
      <w:r>
        <w:rPr>
          <w:rFonts w:hint="eastAsia" w:eastAsia="仿宋_GB2312"/>
          <w:color w:val="auto"/>
          <w:kern w:val="0"/>
          <w:sz w:val="32"/>
          <w:szCs w:val="32"/>
        </w:rPr>
        <w:t>辆，其中一般公务用车</w:t>
      </w:r>
      <w:r>
        <w:rPr>
          <w:rFonts w:hint="eastAsia" w:eastAsia="仿宋_GB2312"/>
          <w:color w:val="auto"/>
          <w:kern w:val="0"/>
          <w:sz w:val="32"/>
          <w:szCs w:val="32"/>
          <w:lang w:val="en-US" w:eastAsia="zh-CN"/>
        </w:rPr>
        <w:t>0</w:t>
      </w:r>
      <w:r>
        <w:rPr>
          <w:rFonts w:hint="eastAsia" w:eastAsia="仿宋_GB2312"/>
          <w:color w:val="auto"/>
          <w:kern w:val="0"/>
          <w:sz w:val="32"/>
          <w:szCs w:val="32"/>
        </w:rPr>
        <w:t>辆；单位价值200万以上大型设备</w:t>
      </w:r>
      <w:r>
        <w:rPr>
          <w:rFonts w:hint="eastAsia" w:eastAsia="仿宋_GB2312"/>
          <w:color w:val="auto"/>
          <w:kern w:val="0"/>
          <w:sz w:val="32"/>
          <w:szCs w:val="32"/>
          <w:lang w:val="en-US" w:eastAsia="zh-CN"/>
        </w:rPr>
        <w:t>0</w:t>
      </w:r>
      <w:r>
        <w:rPr>
          <w:rFonts w:hint="eastAsia" w:eastAsia="仿宋_GB2312"/>
          <w:color w:val="auto"/>
          <w:kern w:val="0"/>
          <w:sz w:val="32"/>
          <w:szCs w:val="32"/>
        </w:rPr>
        <w:t>套。2020年部门预算安排购置车辆</w:t>
      </w:r>
      <w:r>
        <w:rPr>
          <w:rFonts w:hint="eastAsia" w:eastAsia="仿宋_GB2312"/>
          <w:color w:val="auto"/>
          <w:kern w:val="0"/>
          <w:sz w:val="32"/>
          <w:szCs w:val="32"/>
          <w:lang w:val="en-US" w:eastAsia="zh-CN"/>
        </w:rPr>
        <w:t>0</w:t>
      </w:r>
      <w:r>
        <w:rPr>
          <w:rFonts w:hint="eastAsia" w:eastAsia="仿宋_GB2312"/>
          <w:color w:val="auto"/>
          <w:kern w:val="0"/>
          <w:sz w:val="32"/>
          <w:szCs w:val="32"/>
        </w:rPr>
        <w:t>辆，预算安排购置价值200万以上大型设备</w:t>
      </w:r>
      <w:r>
        <w:rPr>
          <w:rFonts w:hint="eastAsia" w:eastAsia="仿宋_GB2312"/>
          <w:color w:val="auto"/>
          <w:kern w:val="0"/>
          <w:sz w:val="32"/>
          <w:szCs w:val="32"/>
          <w:lang w:val="en-US" w:eastAsia="zh-CN"/>
        </w:rPr>
        <w:t>0</w:t>
      </w:r>
      <w:r>
        <w:rPr>
          <w:rFonts w:hint="eastAsia" w:eastAsia="仿宋_GB2312"/>
          <w:color w:val="auto"/>
          <w:kern w:val="0"/>
          <w:sz w:val="32"/>
          <w:szCs w:val="32"/>
        </w:rPr>
        <w:t>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455.67</w:t>
      </w:r>
      <w:r>
        <w:rPr>
          <w:rFonts w:eastAsia="仿宋_GB2312"/>
          <w:color w:val="000000"/>
          <w:sz w:val="32"/>
          <w:szCs w:val="32"/>
        </w:rPr>
        <w:t>万元，其中，基本支出</w:t>
      </w:r>
      <w:r>
        <w:rPr>
          <w:rFonts w:hint="eastAsia" w:eastAsia="仿宋_GB2312"/>
          <w:color w:val="000000"/>
          <w:sz w:val="32"/>
          <w:szCs w:val="32"/>
          <w:lang w:val="en-US" w:eastAsia="zh-CN"/>
        </w:rPr>
        <w:t>455.67</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10</w:t>
      </w:r>
      <w:r>
        <w:rPr>
          <w:rFonts w:eastAsia="仿宋_GB2312"/>
          <w:color w:val="000000"/>
          <w:sz w:val="32"/>
          <w:szCs w:val="32"/>
        </w:rPr>
        <w:t>万元，其中：公务接待费</w:t>
      </w:r>
      <w:r>
        <w:rPr>
          <w:rFonts w:hint="eastAsia" w:eastAsia="仿宋_GB2312"/>
          <w:color w:val="000000"/>
          <w:sz w:val="32"/>
          <w:szCs w:val="32"/>
          <w:lang w:val="en-US" w:eastAsia="zh-CN"/>
        </w:rPr>
        <w:t>10</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5</w:t>
      </w:r>
      <w:r>
        <w:rPr>
          <w:rFonts w:eastAsia="仿宋_GB2312"/>
          <w:color w:val="000000"/>
          <w:sz w:val="32"/>
          <w:szCs w:val="32"/>
        </w:rPr>
        <w:t>万元，主要是因为</w:t>
      </w:r>
      <w:r>
        <w:rPr>
          <w:rFonts w:hint="eastAsia" w:eastAsia="仿宋_GB2312"/>
          <w:color w:val="000000"/>
          <w:sz w:val="32"/>
          <w:szCs w:val="32"/>
          <w:lang w:val="en-US" w:eastAsia="zh-CN"/>
        </w:rPr>
        <w:t>受疫情影响公务接待费减少</w:t>
      </w:r>
      <w:r>
        <w:rPr>
          <w:rFonts w:eastAsia="仿宋_GB2312"/>
          <w:color w:val="000000"/>
          <w:sz w:val="32"/>
          <w:szCs w:val="32"/>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12</w:t>
      </w:r>
      <w:r>
        <w:rPr>
          <w:rFonts w:eastAsia="仿宋_GB2312"/>
          <w:color w:val="000000"/>
          <w:sz w:val="32"/>
          <w:szCs w:val="32"/>
        </w:rPr>
        <w:t>万元，主要是</w:t>
      </w:r>
      <w:r>
        <w:rPr>
          <w:rFonts w:hint="eastAsia" w:eastAsia="仿宋_GB2312"/>
          <w:color w:val="000000"/>
          <w:sz w:val="32"/>
          <w:szCs w:val="32"/>
          <w:lang w:val="en-US" w:eastAsia="zh-CN"/>
        </w:rPr>
        <w:t>用于全年各类总结会</w:t>
      </w:r>
      <w:r>
        <w:rPr>
          <w:rFonts w:eastAsia="仿宋_GB2312"/>
          <w:color w:val="000000"/>
          <w:sz w:val="32"/>
          <w:szCs w:val="32"/>
        </w:rPr>
        <w:t>。</w:t>
      </w:r>
      <w:r>
        <w:rPr>
          <w:rFonts w:hint="eastAsia" w:eastAsia="仿宋_GB2312"/>
          <w:color w:val="000000"/>
          <w:sz w:val="32"/>
          <w:szCs w:val="32"/>
          <w:lang w:eastAsia="zh-CN"/>
        </w:rPr>
        <w:t>（</w:t>
      </w:r>
      <w:bookmarkStart w:id="0" w:name="_GoBack"/>
      <w:bookmarkEnd w:id="0"/>
      <w:r>
        <w:rPr>
          <w:rFonts w:hint="eastAsia" w:eastAsia="仿宋_GB2312"/>
          <w:color w:val="000000"/>
          <w:sz w:val="32"/>
          <w:szCs w:val="32"/>
          <w:lang w:val="en-US" w:eastAsia="zh-CN"/>
        </w:rPr>
        <w:t>1、庆祝建党100周年大会，预计参加人数为200人；2、创建工作表彰大会，预计参加人数为70人；3、年终总结大会，预计参加人数为180人。</w:t>
      </w:r>
      <w:r>
        <w:rPr>
          <w:rFonts w:hint="eastAsia" w:eastAsia="仿宋_GB2312"/>
          <w:color w:val="000000"/>
          <w:sz w:val="32"/>
          <w:szCs w:val="32"/>
          <w:lang w:eastAsia="zh-CN"/>
        </w:rPr>
        <w:t>）</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4</w:t>
      </w:r>
      <w:r>
        <w:rPr>
          <w:rFonts w:eastAsia="仿宋_GB2312"/>
          <w:color w:val="000000"/>
          <w:sz w:val="32"/>
          <w:szCs w:val="32"/>
        </w:rPr>
        <w:t>万元，主要包括</w:t>
      </w:r>
      <w:r>
        <w:rPr>
          <w:rFonts w:hint="eastAsia" w:eastAsia="仿宋_GB2312"/>
          <w:color w:val="000000"/>
          <w:sz w:val="32"/>
          <w:szCs w:val="32"/>
          <w:lang w:val="en-US" w:eastAsia="zh-CN"/>
        </w:rPr>
        <w:t>机关干部的日常业务培训</w:t>
      </w:r>
      <w:r>
        <w:rPr>
          <w:rFonts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lang w:val="en-US" w:eastAsia="zh-CN"/>
        </w:rPr>
        <w:t>1、党政办业务培训，预计参加人数30人；2、财政业务培训，预计参加人数30人；3、综治司法知识培训，预计参加人数90人。</w:t>
      </w:r>
      <w:r>
        <w:rPr>
          <w:rFonts w:hint="eastAsia" w:eastAsia="仿宋_GB2312"/>
          <w:color w:val="000000"/>
          <w:sz w:val="32"/>
          <w:szCs w:val="32"/>
          <w:lang w:eastAsia="zh-CN"/>
        </w:rPr>
        <w:t>）</w:t>
      </w:r>
    </w:p>
    <w:p>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eastAsia="楷体_GB2312"/>
          <w:bCs/>
          <w:color w:val="000000"/>
          <w:sz w:val="32"/>
          <w:szCs w:val="32"/>
        </w:rPr>
        <w:t>其他事项。</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textAlignment w:val="auto"/>
        <w:rPr>
          <w:rFonts w:hint="eastAsia" w:eastAsia="楷体_GB2312"/>
          <w:bCs/>
          <w:color w:val="000000"/>
          <w:sz w:val="32"/>
          <w:szCs w:val="32"/>
          <w:lang w:val="en-US" w:eastAsia="zh-CN"/>
        </w:rPr>
      </w:pPr>
      <w:r>
        <w:rPr>
          <w:rFonts w:hint="eastAsia" w:eastAsia="楷体_GB2312"/>
          <w:bCs/>
          <w:color w:val="000000"/>
          <w:sz w:val="32"/>
          <w:szCs w:val="32"/>
          <w:lang w:val="en-US" w:eastAsia="zh-CN"/>
        </w:rPr>
        <w:t>1、</w:t>
      </w:r>
      <w:r>
        <w:rPr>
          <w:rFonts w:ascii="Times New Roman" w:eastAsia="仿宋_GB2312"/>
          <w:color w:val="auto"/>
          <w:kern w:val="0"/>
          <w:sz w:val="32"/>
          <w:szCs w:val="32"/>
        </w:rPr>
        <w:t>以下</w:t>
      </w:r>
      <w:r>
        <w:rPr>
          <w:rFonts w:hint="eastAsia" w:eastAsia="仿宋_GB2312"/>
          <w:color w:val="auto"/>
          <w:kern w:val="0"/>
          <w:sz w:val="32"/>
          <w:szCs w:val="32"/>
          <w:lang w:val="en-US" w:eastAsia="zh-CN"/>
        </w:rPr>
        <w:t>6</w:t>
      </w:r>
      <w:r>
        <w:rPr>
          <w:rFonts w:ascii="Times New Roman" w:eastAsia="仿宋_GB2312"/>
          <w:color w:val="auto"/>
          <w:kern w:val="0"/>
          <w:sz w:val="32"/>
          <w:szCs w:val="32"/>
        </w:rPr>
        <w:t>个表格为空：</w:t>
      </w:r>
      <w:r>
        <w:rPr>
          <w:rFonts w:hint="eastAsia" w:eastAsia="仿宋_GB2312"/>
          <w:color w:val="auto"/>
          <w:kern w:val="0"/>
          <w:sz w:val="32"/>
          <w:szCs w:val="32"/>
          <w:lang w:val="en-US" w:eastAsia="zh-CN"/>
        </w:rPr>
        <w:t>21</w:t>
      </w:r>
      <w:r>
        <w:rPr>
          <w:rFonts w:ascii="Times New Roman" w:hAnsi="Times New Roman" w:eastAsia="仿宋_GB2312"/>
          <w:color w:val="auto"/>
          <w:kern w:val="0"/>
          <w:sz w:val="32"/>
          <w:szCs w:val="32"/>
        </w:rPr>
        <w:t>.</w:t>
      </w:r>
      <w:r>
        <w:rPr>
          <w:rFonts w:ascii="Times New Roman" w:eastAsia="仿宋_GB2312"/>
          <w:color w:val="auto"/>
          <w:kern w:val="0"/>
          <w:sz w:val="32"/>
          <w:szCs w:val="32"/>
        </w:rPr>
        <w:t>政府性基金预算支出情况表、</w:t>
      </w:r>
      <w:r>
        <w:rPr>
          <w:rFonts w:hint="eastAsia" w:eastAsia="仿宋_GB2312"/>
          <w:color w:val="auto"/>
          <w:kern w:val="0"/>
          <w:sz w:val="32"/>
          <w:szCs w:val="32"/>
          <w:lang w:val="en-US" w:eastAsia="zh-CN"/>
        </w:rPr>
        <w:t>22.</w:t>
      </w:r>
      <w:r>
        <w:rPr>
          <w:rFonts w:ascii="Times New Roman" w:eastAsia="仿宋_GB2312"/>
          <w:color w:val="auto"/>
          <w:kern w:val="0"/>
          <w:sz w:val="32"/>
          <w:szCs w:val="32"/>
        </w:rPr>
        <w:t>政府性基金预算支出情况表</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政府</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23.</w:t>
      </w:r>
      <w:r>
        <w:rPr>
          <w:rFonts w:ascii="Times New Roman" w:eastAsia="仿宋_GB2312"/>
          <w:color w:val="auto"/>
          <w:kern w:val="0"/>
          <w:sz w:val="32"/>
          <w:szCs w:val="32"/>
        </w:rPr>
        <w:t>专户</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24.</w:t>
      </w:r>
      <w:r>
        <w:rPr>
          <w:rFonts w:ascii="Times New Roman" w:eastAsia="仿宋_GB2312"/>
          <w:color w:val="auto"/>
          <w:kern w:val="0"/>
          <w:sz w:val="32"/>
          <w:szCs w:val="32"/>
        </w:rPr>
        <w:t>专户</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政府</w:t>
      </w:r>
      <w:r>
        <w:rPr>
          <w:rFonts w:hint="eastAsia" w:eastAsia="仿宋_GB2312"/>
          <w:color w:val="auto"/>
          <w:kern w:val="0"/>
          <w:sz w:val="32"/>
          <w:szCs w:val="32"/>
          <w:lang w:eastAsia="zh-CN"/>
        </w:rPr>
        <w:t>）</w:t>
      </w:r>
      <w:r>
        <w:rPr>
          <w:rFonts w:ascii="Times New Roman" w:eastAsia="仿宋_GB2312"/>
          <w:color w:val="auto"/>
          <w:kern w:val="0"/>
          <w:sz w:val="32"/>
          <w:szCs w:val="32"/>
        </w:rPr>
        <w:t>、</w:t>
      </w:r>
      <w:r>
        <w:rPr>
          <w:rFonts w:hint="eastAsia" w:eastAsia="仿宋_GB2312"/>
          <w:color w:val="auto"/>
          <w:kern w:val="0"/>
          <w:sz w:val="32"/>
          <w:szCs w:val="32"/>
          <w:lang w:val="en-US" w:eastAsia="zh-CN"/>
        </w:rPr>
        <w:t>27</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专项支出预算表</w:t>
      </w:r>
      <w:r>
        <w:rPr>
          <w:rFonts w:ascii="Times New Roman" w:eastAsia="仿宋_GB2312"/>
          <w:color w:val="auto"/>
          <w:kern w:val="0"/>
          <w:sz w:val="32"/>
          <w:szCs w:val="32"/>
        </w:rPr>
        <w:t>、</w:t>
      </w:r>
      <w:r>
        <w:rPr>
          <w:rFonts w:hint="eastAsia" w:eastAsia="仿宋_GB2312"/>
          <w:color w:val="auto"/>
          <w:kern w:val="0"/>
          <w:sz w:val="32"/>
          <w:szCs w:val="32"/>
          <w:lang w:val="en-US" w:eastAsia="zh-CN"/>
        </w:rPr>
        <w:t>29</w:t>
      </w:r>
      <w:r>
        <w:rPr>
          <w:rFonts w:ascii="Times New Roman" w:hAnsi="Times New Roman" w:eastAsia="仿宋_GB2312"/>
          <w:color w:val="auto"/>
          <w:kern w:val="0"/>
          <w:sz w:val="32"/>
          <w:szCs w:val="32"/>
        </w:rPr>
        <w:t>.</w:t>
      </w:r>
      <w:r>
        <w:rPr>
          <w:rFonts w:hint="eastAsia" w:ascii="Times New Roman" w:eastAsia="仿宋_GB2312"/>
          <w:color w:val="auto"/>
          <w:kern w:val="0"/>
          <w:sz w:val="32"/>
          <w:szCs w:val="32"/>
          <w:lang w:val="en-US" w:eastAsia="zh-CN"/>
        </w:rPr>
        <w:t>专项资金支出方向绩效目标表</w:t>
      </w:r>
      <w:r>
        <w:rPr>
          <w:rFonts w:ascii="Times New Roman" w:eastAsia="仿宋_GB2312"/>
          <w:color w:val="auto"/>
          <w:kern w:val="0"/>
          <w:sz w:val="32"/>
          <w:szCs w:val="32"/>
        </w:rPr>
        <w:t>，原因是未安排以上资金。</w:t>
      </w:r>
    </w:p>
    <w:p>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楷体_GB2312"/>
          <w:bCs/>
          <w:color w:val="000000"/>
          <w:sz w:val="32"/>
          <w:szCs w:val="32"/>
        </w:rPr>
      </w:pPr>
      <w:r>
        <w:rPr>
          <w:rFonts w:hint="eastAsia" w:eastAsia="仿宋_GB2312"/>
          <w:color w:val="auto"/>
          <w:kern w:val="0"/>
          <w:sz w:val="32"/>
          <w:szCs w:val="32"/>
          <w:lang w:val="en-US" w:eastAsia="zh-CN"/>
        </w:rPr>
        <w:t>2、</w:t>
      </w:r>
      <w:r>
        <w:rPr>
          <w:rFonts w:ascii="Times New Roman" w:hAnsi="Times New Roman" w:eastAsia="仿宋_GB2312"/>
          <w:color w:val="auto"/>
          <w:kern w:val="0"/>
          <w:sz w:val="32"/>
          <w:szCs w:val="32"/>
        </w:rPr>
        <w:t>本单位无门户网站，已在政府网统一公开。</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b/>
          <w:bCs/>
          <w:sz w:val="32"/>
          <w:szCs w:val="32"/>
        </w:rPr>
      </w:pPr>
      <w:r>
        <w:rPr>
          <w:rFonts w:eastAsia="仿宋_GB2312"/>
          <w:b/>
          <w:bCs/>
          <w:sz w:val="32"/>
          <w:szCs w:val="32"/>
        </w:rPr>
        <w:t>名词解释：</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3" w:firstLineChars="200"/>
        <w:jc w:val="left"/>
        <w:textAlignment w:val="auto"/>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560" w:lineRule="exact"/>
        <w:textAlignment w:val="auto"/>
        <w:rPr>
          <w:rFonts w:eastAsia="仿宋_GB2312"/>
          <w:sz w:val="32"/>
          <w:szCs w:val="32"/>
        </w:rPr>
      </w:pPr>
    </w:p>
    <w:p>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8C392"/>
    <w:multiLevelType w:val="singleLevel"/>
    <w:tmpl w:val="7978C39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D84058"/>
    <w:rsid w:val="000505A4"/>
    <w:rsid w:val="00323B43"/>
    <w:rsid w:val="003D37D8"/>
    <w:rsid w:val="004358AB"/>
    <w:rsid w:val="005553BA"/>
    <w:rsid w:val="006464CA"/>
    <w:rsid w:val="0077734D"/>
    <w:rsid w:val="008B7726"/>
    <w:rsid w:val="00B221AD"/>
    <w:rsid w:val="00C76841"/>
    <w:rsid w:val="00CB1E75"/>
    <w:rsid w:val="00CE7B64"/>
    <w:rsid w:val="00D84058"/>
    <w:rsid w:val="00DC3AC0"/>
    <w:rsid w:val="00DD18F0"/>
    <w:rsid w:val="00E315E9"/>
    <w:rsid w:val="00ED50CD"/>
    <w:rsid w:val="29860555"/>
    <w:rsid w:val="458C62C3"/>
    <w:rsid w:val="47F3019E"/>
    <w:rsid w:val="6BB64264"/>
    <w:rsid w:val="6BF830CB"/>
    <w:rsid w:val="7C81321F"/>
    <w:rsid w:val="7DCC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CE46-42D5-4261-AC0D-1DC3D408CD99}">
  <ds:schemaRefs/>
</ds:datastoreItem>
</file>

<file path=docProps/app.xml><?xml version="1.0" encoding="utf-8"?>
<Properties xmlns="http://schemas.openxmlformats.org/officeDocument/2006/extended-properties" xmlns:vt="http://schemas.openxmlformats.org/officeDocument/2006/docPropsVTypes">
  <Template>Normal</Template>
  <Pages>8</Pages>
  <Words>2832</Words>
  <Characters>3012</Characters>
  <Lines>21</Lines>
  <Paragraphs>6</Paragraphs>
  <TotalTime>4</TotalTime>
  <ScaleCrop>false</ScaleCrop>
  <LinksUpToDate>false</LinksUpToDate>
  <CharactersWithSpaces>3349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2022-09-11T23:54:03Z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D1F2ED6F384B4684B95EA4CA969C3D7C</vt:lpwstr>
  </property>
</Properties>
</file>