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jc w:val="center"/>
        <w:rPr>
          <w:rFonts w:eastAsia="方正小标宋简体"/>
          <w:bCs/>
          <w:color w:val="000000"/>
          <w:sz w:val="44"/>
          <w:szCs w:val="44"/>
        </w:rPr>
      </w:pPr>
      <w:r>
        <w:rPr>
          <w:rFonts w:hint="eastAsia" w:eastAsia="方正小标宋简体"/>
          <w:bCs/>
          <w:color w:val="000000"/>
          <w:sz w:val="44"/>
          <w:szCs w:val="44"/>
        </w:rPr>
        <w:t>醴陵市归国华侨联合会</w:t>
      </w:r>
    </w:p>
    <w:p>
      <w:pPr>
        <w:tabs>
          <w:tab w:val="left" w:pos="7560"/>
        </w:tabs>
        <w:adjustRightInd w:val="0"/>
        <w:snapToGrid w:val="0"/>
        <w:spacing w:line="560" w:lineRule="exact"/>
        <w:jc w:val="center"/>
        <w:rPr>
          <w:rFonts w:eastAsia="方正小标宋简体"/>
          <w:bCs/>
          <w:color w:val="000000"/>
          <w:sz w:val="44"/>
          <w:szCs w:val="44"/>
        </w:rPr>
      </w:pPr>
      <w:r>
        <w:rPr>
          <w:rFonts w:eastAsia="方正小标宋简体"/>
          <w:bCs/>
          <w:color w:val="000000"/>
          <w:sz w:val="44"/>
          <w:szCs w:val="44"/>
        </w:rPr>
        <w:t>2021年部门预算公开说明</w:t>
      </w:r>
    </w:p>
    <w:p>
      <w:pPr>
        <w:tabs>
          <w:tab w:val="left" w:pos="7560"/>
        </w:tabs>
        <w:adjustRightInd w:val="0"/>
        <w:snapToGrid w:val="0"/>
        <w:spacing w:line="560" w:lineRule="exact"/>
        <w:jc w:val="left"/>
        <w:rPr>
          <w:rFonts w:eastAsia="仿宋_GB2312"/>
          <w:bCs/>
          <w:sz w:val="32"/>
          <w:szCs w:val="32"/>
        </w:rPr>
      </w:pPr>
    </w:p>
    <w:p>
      <w:pPr>
        <w:tabs>
          <w:tab w:val="left" w:pos="7560"/>
        </w:tabs>
        <w:adjustRightInd w:val="0"/>
        <w:snapToGrid w:val="0"/>
        <w:spacing w:line="560" w:lineRule="exact"/>
        <w:ind w:firstLine="640" w:firstLineChars="200"/>
        <w:jc w:val="center"/>
        <w:rPr>
          <w:rFonts w:eastAsia="黑体"/>
          <w:bCs/>
          <w:sz w:val="32"/>
          <w:szCs w:val="32"/>
        </w:rPr>
      </w:pPr>
      <w:r>
        <w:rPr>
          <w:rFonts w:hAnsi="黑体" w:eastAsia="黑体"/>
          <w:bCs/>
          <w:sz w:val="32"/>
          <w:szCs w:val="32"/>
        </w:rPr>
        <w:t>部门预算公开信息目录</w:t>
      </w:r>
    </w:p>
    <w:p>
      <w:pPr>
        <w:numPr>
          <w:ilvl w:val="0"/>
          <w:numId w:val="1"/>
        </w:numPr>
        <w:tabs>
          <w:tab w:val="left" w:pos="7560"/>
        </w:tabs>
        <w:adjustRightInd w:val="0"/>
        <w:snapToGrid w:val="0"/>
        <w:spacing w:line="560" w:lineRule="exact"/>
        <w:ind w:firstLine="640" w:firstLineChars="200"/>
        <w:jc w:val="left"/>
        <w:rPr>
          <w:rFonts w:hAnsi="仿宋_GB2312" w:eastAsia="仿宋_GB2312"/>
          <w:sz w:val="32"/>
          <w:szCs w:val="32"/>
        </w:rPr>
      </w:pPr>
      <w:r>
        <w:rPr>
          <w:rFonts w:hAnsi="仿宋_GB2312" w:eastAsia="仿宋_GB2312"/>
          <w:sz w:val="32"/>
          <w:szCs w:val="32"/>
        </w:rPr>
        <w:t>部门职能职责</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二、机构设置</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三、部门收支概况</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（一）收入预算</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w:t>
      </w:r>
      <w:r>
        <w:rPr>
          <w:rFonts w:hAnsi="仿宋_GB2312" w:eastAsia="仿宋_GB2312"/>
          <w:sz w:val="32"/>
          <w:szCs w:val="32"/>
        </w:rPr>
        <w:t>二）支出预算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（三）预算收支增减变化情况说明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四、其他重要事项情况说明</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（一）机关运行经费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（二）政府采购预算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（三）国有资产占有情况</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（四）预算绩效目标</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（六）会议费、培训费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（七）其他事项</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五、名词解释</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六、部门预算公开表格</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（一）部门收支总表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（二）部门收入总表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（三）部门支出总表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（四）部门支出总表（分类）</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（五）部门支出分类</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（六）基本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（七）工资福利</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（八）基本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（九）商品服务</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（十）基本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（十一）个人家庭</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（十二）财政拨款收支总表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（十三）一般公共预算支出表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（十四）一般预算基本支出表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（十五）一般</w:t>
      </w:r>
      <w:r>
        <w:rPr>
          <w:rFonts w:eastAsia="仿宋_GB2312"/>
          <w:sz w:val="32"/>
          <w:szCs w:val="32"/>
        </w:rPr>
        <w:t>-</w:t>
      </w:r>
      <w:r>
        <w:rPr>
          <w:rFonts w:hAnsi="仿宋_GB2312" w:eastAsia="仿宋_GB2312"/>
          <w:sz w:val="32"/>
          <w:szCs w:val="32"/>
        </w:rPr>
        <w:t>工资福利</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（十六）工资福利</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（十七）一般</w:t>
      </w:r>
      <w:r>
        <w:rPr>
          <w:rFonts w:eastAsia="仿宋_GB2312"/>
          <w:sz w:val="32"/>
          <w:szCs w:val="32"/>
        </w:rPr>
        <w:t>-</w:t>
      </w:r>
      <w:r>
        <w:rPr>
          <w:rFonts w:hAnsi="仿宋_GB2312" w:eastAsia="仿宋_GB2312"/>
          <w:sz w:val="32"/>
          <w:szCs w:val="32"/>
        </w:rPr>
        <w:t>一般商品服务</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（十八）商品服务</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（十九）一般</w:t>
      </w:r>
      <w:r>
        <w:rPr>
          <w:rFonts w:eastAsia="仿宋_GB2312"/>
          <w:sz w:val="32"/>
          <w:szCs w:val="32"/>
        </w:rPr>
        <w:t>-</w:t>
      </w:r>
      <w:r>
        <w:rPr>
          <w:rFonts w:hAnsi="仿宋_GB2312" w:eastAsia="仿宋_GB2312"/>
          <w:sz w:val="32"/>
          <w:szCs w:val="32"/>
        </w:rPr>
        <w:t>个人和家庭</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（二十）个人家庭</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（二十一）政府性基金</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（二十二）政府性基金</w:t>
      </w:r>
      <w:r>
        <w:rPr>
          <w:rFonts w:eastAsia="仿宋_GB2312"/>
          <w:sz w:val="32"/>
          <w:szCs w:val="32"/>
        </w:rPr>
        <w:t>(</w:t>
      </w:r>
      <w:r>
        <w:rPr>
          <w:rFonts w:hAnsi="仿宋_GB2312" w:eastAsia="仿宋_GB2312"/>
          <w:sz w:val="32"/>
          <w:szCs w:val="32"/>
        </w:rPr>
        <w:t>政府预算</w:t>
      </w:r>
      <w:r>
        <w:rPr>
          <w:rFonts w:eastAsia="仿宋_GB2312"/>
          <w:sz w:val="32"/>
          <w:szCs w:val="32"/>
        </w:rPr>
        <w:t xml:space="preserve">) </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（二十三）专户</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（二十四）专户</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（二十五）经费拨款预算表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（二十六）经费拨款预算表</w:t>
      </w:r>
      <w:r>
        <w:rPr>
          <w:rFonts w:eastAsia="仿宋_GB2312"/>
          <w:sz w:val="32"/>
          <w:szCs w:val="32"/>
        </w:rPr>
        <w:t>(</w:t>
      </w:r>
      <w:r>
        <w:rPr>
          <w:rFonts w:hAnsi="仿宋_GB2312" w:eastAsia="仿宋_GB2312"/>
          <w:sz w:val="32"/>
          <w:szCs w:val="32"/>
        </w:rPr>
        <w:t>政府预算</w:t>
      </w:r>
      <w:r>
        <w:rPr>
          <w:rFonts w:eastAsia="仿宋_GB2312"/>
          <w:sz w:val="32"/>
          <w:szCs w:val="32"/>
        </w:rPr>
        <w:t>)</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（二十七）专项支出预算表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（二十八）一般公共预算</w:t>
      </w:r>
      <w:r>
        <w:rPr>
          <w:rFonts w:eastAsia="仿宋_GB2312"/>
          <w:sz w:val="32"/>
          <w:szCs w:val="32"/>
        </w:rPr>
        <w:t>“</w:t>
      </w:r>
      <w:r>
        <w:rPr>
          <w:rFonts w:hAnsi="仿宋_GB2312" w:eastAsia="仿宋_GB2312"/>
          <w:sz w:val="32"/>
          <w:szCs w:val="32"/>
        </w:rPr>
        <w:t>三公</w:t>
      </w:r>
      <w:r>
        <w:rPr>
          <w:rFonts w:eastAsia="仿宋_GB2312"/>
          <w:sz w:val="32"/>
          <w:szCs w:val="32"/>
        </w:rPr>
        <w:t>”</w:t>
      </w:r>
      <w:r>
        <w:rPr>
          <w:rFonts w:hAnsi="仿宋_GB2312" w:eastAsia="仿宋_GB2312"/>
          <w:sz w:val="32"/>
          <w:szCs w:val="32"/>
        </w:rPr>
        <w:t>经费预算表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（二十九）部门整体支出绩效目标表</w:t>
      </w:r>
    </w:p>
    <w:p>
      <w:pPr>
        <w:tabs>
          <w:tab w:val="left" w:pos="7560"/>
        </w:tabs>
        <w:adjustRightInd w:val="0"/>
        <w:snapToGrid w:val="0"/>
        <w:spacing w:line="560" w:lineRule="exact"/>
        <w:ind w:firstLine="640" w:firstLineChars="200"/>
        <w:jc w:val="left"/>
        <w:rPr>
          <w:rFonts w:eastAsia="仿宋_GB2312"/>
          <w:sz w:val="32"/>
          <w:szCs w:val="32"/>
        </w:rPr>
      </w:pPr>
      <w:r>
        <w:rPr>
          <w:rFonts w:hAnsi="仿宋_GB2312" w:eastAsia="仿宋_GB2312"/>
          <w:sz w:val="32"/>
          <w:szCs w:val="32"/>
        </w:rPr>
        <w:t>（三十）单位专项支出方向绩效目标表</w:t>
      </w: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仿宋_GB2312"/>
          <w:sz w:val="32"/>
          <w:szCs w:val="32"/>
        </w:rPr>
      </w:pPr>
    </w:p>
    <w:p>
      <w:pPr>
        <w:tabs>
          <w:tab w:val="left" w:pos="7560"/>
        </w:tabs>
        <w:adjustRightInd w:val="0"/>
        <w:snapToGrid w:val="0"/>
        <w:spacing w:line="560" w:lineRule="exact"/>
        <w:ind w:firstLine="640" w:firstLineChars="200"/>
        <w:jc w:val="left"/>
        <w:rPr>
          <w:rFonts w:eastAsia="黑体"/>
          <w:sz w:val="32"/>
          <w:szCs w:val="32"/>
        </w:rPr>
      </w:pPr>
      <w:r>
        <w:rPr>
          <w:rFonts w:hAnsi="黑体" w:eastAsia="黑体"/>
          <w:sz w:val="32"/>
          <w:szCs w:val="32"/>
        </w:rPr>
        <w:t>一、</w:t>
      </w:r>
      <w:r>
        <w:rPr>
          <w:rFonts w:eastAsia="黑体"/>
          <w:sz w:val="32"/>
          <w:szCs w:val="32"/>
        </w:rPr>
        <w:t xml:space="preserve"> </w:t>
      </w:r>
      <w:r>
        <w:rPr>
          <w:rFonts w:hAnsi="黑体" w:eastAsia="黑体"/>
          <w:sz w:val="32"/>
          <w:szCs w:val="32"/>
        </w:rPr>
        <w:t>部门职能职责</w:t>
      </w:r>
    </w:p>
    <w:p>
      <w:pPr>
        <w:spacing w:line="560" w:lineRule="exact"/>
        <w:ind w:firstLine="627" w:firstLineChars="196"/>
        <w:rPr>
          <w:rFonts w:eastAsia="仿宋_GB2312"/>
          <w:bCs/>
          <w:kern w:val="0"/>
          <w:sz w:val="32"/>
          <w:szCs w:val="32"/>
        </w:rPr>
      </w:pPr>
      <w:r>
        <w:rPr>
          <w:rFonts w:eastAsia="仿宋_GB2312"/>
          <w:sz w:val="32"/>
          <w:szCs w:val="32"/>
        </w:rPr>
        <w:t>醴陵市归国华侨联合会，</w:t>
      </w:r>
      <w:r>
        <w:rPr>
          <w:rFonts w:hint="eastAsia" w:eastAsia="仿宋_GB2312"/>
          <w:sz w:val="32"/>
          <w:szCs w:val="32"/>
        </w:rPr>
        <w:t>成立于2017年12月，</w:t>
      </w:r>
      <w:r>
        <w:rPr>
          <w:rFonts w:eastAsia="仿宋_GB2312"/>
          <w:sz w:val="32"/>
          <w:szCs w:val="32"/>
        </w:rPr>
        <w:t>列入群团机构序列，</w:t>
      </w:r>
      <w:r>
        <w:rPr>
          <w:rFonts w:hint="eastAsia" w:eastAsia="仿宋_GB2312"/>
          <w:sz w:val="32"/>
          <w:szCs w:val="32"/>
        </w:rPr>
        <w:t>为</w:t>
      </w:r>
      <w:r>
        <w:rPr>
          <w:rFonts w:eastAsia="仿宋_GB2312"/>
          <w:sz w:val="32"/>
          <w:szCs w:val="32"/>
        </w:rPr>
        <w:t>正科级全额拨款机关单位</w:t>
      </w:r>
      <w:r>
        <w:rPr>
          <w:rFonts w:hint="eastAsia" w:eastAsia="仿宋_GB2312"/>
          <w:sz w:val="32"/>
          <w:szCs w:val="32"/>
        </w:rPr>
        <w:t>，</w:t>
      </w:r>
      <w:r>
        <w:rPr>
          <w:rFonts w:eastAsia="仿宋_GB2312"/>
          <w:sz w:val="32"/>
          <w:szCs w:val="32"/>
        </w:rPr>
        <w:t>核定科级领导职数1名，核定行政编制1名；</w:t>
      </w:r>
      <w:r>
        <w:rPr>
          <w:rFonts w:hint="eastAsia" w:eastAsia="仿宋_GB2312"/>
          <w:sz w:val="32"/>
          <w:szCs w:val="32"/>
        </w:rPr>
        <w:t>2019年5月下设华侨服务中心，为</w:t>
      </w:r>
      <w:r>
        <w:rPr>
          <w:rFonts w:eastAsia="仿宋_GB2312"/>
          <w:sz w:val="32"/>
          <w:szCs w:val="32"/>
        </w:rPr>
        <w:t>正股级公益一类全额拨款事业单位，核定事业编制3名。目前行政编制1名</w:t>
      </w:r>
      <w:r>
        <w:rPr>
          <w:rFonts w:hint="eastAsia" w:eastAsia="仿宋_GB2312"/>
          <w:sz w:val="32"/>
          <w:szCs w:val="32"/>
        </w:rPr>
        <w:t>、</w:t>
      </w:r>
      <w:r>
        <w:rPr>
          <w:rFonts w:eastAsia="仿宋_GB2312"/>
          <w:sz w:val="32"/>
          <w:szCs w:val="32"/>
        </w:rPr>
        <w:t>事业编制2名在岗。</w:t>
      </w:r>
      <w:r>
        <w:rPr>
          <w:rFonts w:hint="eastAsia" w:eastAsia="仿宋_GB2312"/>
          <w:sz w:val="32"/>
          <w:szCs w:val="32"/>
        </w:rPr>
        <w:t>我会主要职责有：</w:t>
      </w:r>
    </w:p>
    <w:p>
      <w:pPr>
        <w:spacing w:line="560" w:lineRule="exact"/>
        <w:ind w:firstLine="627" w:firstLineChars="196"/>
        <w:rPr>
          <w:rFonts w:eastAsia="仿宋_GB2312"/>
          <w:sz w:val="32"/>
          <w:szCs w:val="32"/>
        </w:rPr>
      </w:pPr>
      <w:r>
        <w:rPr>
          <w:rFonts w:eastAsia="仿宋_GB2312"/>
          <w:sz w:val="32"/>
          <w:szCs w:val="32"/>
        </w:rPr>
        <w:t>（一）引导和组织归侨、</w:t>
      </w:r>
      <w:r>
        <w:rPr>
          <w:rFonts w:hint="eastAsia" w:eastAsia="仿宋_GB2312"/>
          <w:sz w:val="32"/>
          <w:szCs w:val="32"/>
        </w:rPr>
        <w:t>侨眷</w:t>
      </w:r>
      <w:r>
        <w:rPr>
          <w:rFonts w:eastAsia="仿宋_GB2312"/>
          <w:sz w:val="32"/>
          <w:szCs w:val="32"/>
        </w:rPr>
        <w:t>学习</w:t>
      </w:r>
      <w:r>
        <w:rPr>
          <w:rFonts w:hint="eastAsia" w:eastAsia="仿宋_GB2312"/>
          <w:sz w:val="32"/>
          <w:szCs w:val="32"/>
        </w:rPr>
        <w:t>习近平新时代中国特色社会主义思想</w:t>
      </w:r>
      <w:r>
        <w:rPr>
          <w:rFonts w:eastAsia="仿宋_GB2312"/>
          <w:sz w:val="32"/>
          <w:szCs w:val="32"/>
        </w:rPr>
        <w:t>，宣传、贯彻党和政府的方针、政策，团结和动员归侨、侨眷积极参加改革和现代化建设；</w:t>
      </w:r>
    </w:p>
    <w:p>
      <w:pPr>
        <w:spacing w:line="560" w:lineRule="exact"/>
        <w:ind w:firstLine="627" w:firstLineChars="196"/>
        <w:rPr>
          <w:rFonts w:eastAsia="仿宋_GB2312"/>
          <w:sz w:val="32"/>
          <w:szCs w:val="32"/>
        </w:rPr>
      </w:pPr>
      <w:r>
        <w:rPr>
          <w:rFonts w:eastAsia="仿宋_GB2312"/>
          <w:sz w:val="32"/>
          <w:szCs w:val="32"/>
        </w:rPr>
        <w:t>（二）依法维护归侨、侨眷的合法权益，为广大归侨、侨眷和</w:t>
      </w:r>
      <w:r>
        <w:rPr>
          <w:rFonts w:hint="eastAsia" w:eastAsia="仿宋_GB2312"/>
          <w:sz w:val="32"/>
          <w:szCs w:val="32"/>
        </w:rPr>
        <w:t>侨企</w:t>
      </w:r>
      <w:r>
        <w:rPr>
          <w:rFonts w:eastAsia="仿宋_GB2312"/>
          <w:sz w:val="32"/>
          <w:szCs w:val="32"/>
        </w:rPr>
        <w:t>提供法律咨询服务；</w:t>
      </w:r>
      <w:r>
        <w:rPr>
          <w:rFonts w:hint="eastAsia" w:eastAsia="仿宋_GB2312"/>
          <w:sz w:val="32"/>
          <w:szCs w:val="32"/>
        </w:rPr>
        <w:t>开展慰问困难归侨、侨眷活动；</w:t>
      </w:r>
    </w:p>
    <w:p>
      <w:pPr>
        <w:spacing w:line="560" w:lineRule="exact"/>
        <w:ind w:firstLine="627" w:firstLineChars="196"/>
        <w:rPr>
          <w:rFonts w:eastAsia="仿宋_GB2312"/>
          <w:sz w:val="32"/>
          <w:szCs w:val="32"/>
        </w:rPr>
      </w:pPr>
      <w:r>
        <w:rPr>
          <w:rFonts w:hint="eastAsia" w:eastAsia="仿宋_GB2312"/>
          <w:sz w:val="32"/>
          <w:szCs w:val="32"/>
        </w:rPr>
        <w:t>（三）继续开展侨情调查。协商、推荐产生新一届归侨、侨眷代表，召开市侨联换届大会；</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）围绕经济建设，凝聚侨心，发挥侨力</w:t>
      </w:r>
      <w:r>
        <w:rPr>
          <w:rFonts w:hint="eastAsia" w:eastAsia="仿宋_GB2312"/>
          <w:sz w:val="32"/>
          <w:szCs w:val="32"/>
        </w:rPr>
        <w:t>，积极开展招商引资工作，开展“走出去，引进来”等活动。</w:t>
      </w:r>
      <w:r>
        <w:rPr>
          <w:rFonts w:eastAsia="仿宋_GB2312"/>
          <w:sz w:val="32"/>
          <w:szCs w:val="32"/>
        </w:rPr>
        <w:t>引进资金、技术、设备和人才，协助和联络海外侨胞来</w:t>
      </w:r>
      <w:r>
        <w:rPr>
          <w:rFonts w:hint="eastAsia" w:eastAsia="仿宋_GB2312"/>
          <w:sz w:val="32"/>
          <w:szCs w:val="32"/>
        </w:rPr>
        <w:t>醴</w:t>
      </w:r>
      <w:r>
        <w:rPr>
          <w:rFonts w:eastAsia="仿宋_GB2312"/>
          <w:sz w:val="32"/>
          <w:szCs w:val="32"/>
        </w:rPr>
        <w:t>投资兴办实业和公益事业，为侨属企业、侨资企业提供服务；</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）制订全市侨联工作计划和发展规划，并</w:t>
      </w:r>
      <w:r>
        <w:rPr>
          <w:rFonts w:hint="eastAsia" w:eastAsia="仿宋_GB2312"/>
          <w:sz w:val="32"/>
          <w:szCs w:val="32"/>
        </w:rPr>
        <w:t>组</w:t>
      </w:r>
      <w:r>
        <w:rPr>
          <w:rFonts w:eastAsia="仿宋_GB2312"/>
          <w:sz w:val="32"/>
          <w:szCs w:val="32"/>
        </w:rPr>
        <w:t>织实施；负责全市归侨、侨眷代表大会及其委员会的决议、决定的实施；</w:t>
      </w:r>
    </w:p>
    <w:p>
      <w:pPr>
        <w:spacing w:line="560" w:lineRule="exact"/>
        <w:ind w:firstLine="627" w:firstLineChars="196"/>
        <w:rPr>
          <w:rFonts w:eastAsia="仿宋_GB2312"/>
          <w:sz w:val="32"/>
          <w:szCs w:val="32"/>
        </w:rPr>
      </w:pPr>
      <w:r>
        <w:rPr>
          <w:rFonts w:hint="eastAsia" w:eastAsia="仿宋_GB2312"/>
          <w:sz w:val="32"/>
          <w:szCs w:val="32"/>
        </w:rPr>
        <w:t>（六）推进基层组织建设，建立健全一批镇（街道）、村（社区）基层侨联组织；</w:t>
      </w:r>
    </w:p>
    <w:p>
      <w:pPr>
        <w:spacing w:line="560" w:lineRule="exact"/>
        <w:ind w:firstLine="627" w:firstLineChars="196"/>
        <w:rPr>
          <w:rFonts w:eastAsia="仿宋_GB2312"/>
          <w:sz w:val="32"/>
          <w:szCs w:val="32"/>
        </w:rPr>
      </w:pPr>
      <w:r>
        <w:rPr>
          <w:rFonts w:hint="eastAsia" w:eastAsia="仿宋_GB2312"/>
          <w:sz w:val="32"/>
          <w:szCs w:val="32"/>
        </w:rPr>
        <w:t>（七）加大一法两条例的宣传，扩大侨联组织的影响；</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八</w:t>
      </w:r>
      <w:r>
        <w:rPr>
          <w:rFonts w:eastAsia="仿宋_GB2312"/>
          <w:sz w:val="32"/>
          <w:szCs w:val="32"/>
        </w:rPr>
        <w:t>）积极参政议政，参与人大、政协的侨界代表、委员人选的协商和推荐；</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九</w:t>
      </w:r>
      <w:r>
        <w:rPr>
          <w:rFonts w:eastAsia="仿宋_GB2312"/>
          <w:sz w:val="32"/>
          <w:szCs w:val="32"/>
        </w:rPr>
        <w:t>）密切与海外侨胞及其社团的联系，广泛了解归侨、侨眷和海外侨胞的意见和要求，为党和政府制订侨务政策提出建议和意见。按中央有关部门和省、市委的要求，加强侨务对台工作，为祖国统一大业服务；</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十</w:t>
      </w:r>
      <w:r>
        <w:rPr>
          <w:rFonts w:eastAsia="仿宋_GB2312"/>
          <w:sz w:val="32"/>
          <w:szCs w:val="32"/>
        </w:rPr>
        <w:t>）管理市侨联所属的事业单位；</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十一</w:t>
      </w:r>
      <w:r>
        <w:rPr>
          <w:rFonts w:eastAsia="仿宋_GB2312"/>
          <w:sz w:val="32"/>
          <w:szCs w:val="32"/>
        </w:rPr>
        <w:t>）指导全市侨联组织的业务工作；</w:t>
      </w:r>
    </w:p>
    <w:p>
      <w:pPr>
        <w:spacing w:line="560" w:lineRule="exact"/>
        <w:ind w:firstLine="627" w:firstLineChars="196"/>
        <w:rPr>
          <w:rFonts w:eastAsia="仿宋_GB2312"/>
          <w:sz w:val="32"/>
          <w:szCs w:val="32"/>
        </w:rPr>
      </w:pPr>
      <w:r>
        <w:rPr>
          <w:rFonts w:eastAsia="仿宋_GB2312"/>
          <w:sz w:val="32"/>
          <w:szCs w:val="32"/>
        </w:rPr>
        <w:t>（</w:t>
      </w:r>
      <w:r>
        <w:rPr>
          <w:rFonts w:hint="eastAsia" w:eastAsia="仿宋_GB2312"/>
          <w:sz w:val="32"/>
          <w:szCs w:val="32"/>
        </w:rPr>
        <w:t>十二</w:t>
      </w:r>
      <w:r>
        <w:rPr>
          <w:rFonts w:eastAsia="仿宋_GB2312"/>
          <w:sz w:val="32"/>
          <w:szCs w:val="32"/>
        </w:rPr>
        <w:t>）完成市委、市政府交办的其他工作。</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二、机构设置</w:t>
      </w:r>
    </w:p>
    <w:p>
      <w:pPr>
        <w:tabs>
          <w:tab w:val="left" w:pos="7560"/>
        </w:tabs>
        <w:adjustRightInd w:val="0"/>
        <w:snapToGrid w:val="0"/>
        <w:spacing w:line="560" w:lineRule="exact"/>
        <w:ind w:firstLine="640" w:firstLineChars="200"/>
        <w:jc w:val="left"/>
        <w:rPr>
          <w:rFonts w:hint="eastAsia" w:eastAsia="仿宋_GB2312"/>
          <w:color w:val="000000"/>
          <w:sz w:val="32"/>
          <w:szCs w:val="32"/>
          <w:lang w:eastAsia="zh-CN"/>
        </w:rPr>
      </w:pPr>
      <w:r>
        <w:rPr>
          <w:rFonts w:eastAsia="仿宋_GB2312"/>
          <w:bCs/>
          <w:color w:val="000000"/>
          <w:sz w:val="32"/>
          <w:szCs w:val="32"/>
        </w:rPr>
        <w:t> </w:t>
      </w:r>
      <w:r>
        <w:rPr>
          <w:rFonts w:eastAsia="仿宋_GB2312"/>
          <w:color w:val="000000"/>
          <w:sz w:val="32"/>
          <w:szCs w:val="32"/>
        </w:rPr>
        <w:t>本部门共有编制人数</w:t>
      </w:r>
      <w:r>
        <w:rPr>
          <w:rFonts w:hint="eastAsia" w:eastAsia="仿宋_GB2312"/>
          <w:color w:val="000000"/>
          <w:sz w:val="32"/>
          <w:szCs w:val="32"/>
        </w:rPr>
        <w:t>4</w:t>
      </w:r>
      <w:r>
        <w:rPr>
          <w:rFonts w:eastAsia="仿宋_GB2312"/>
          <w:color w:val="000000"/>
          <w:sz w:val="32"/>
          <w:szCs w:val="32"/>
        </w:rPr>
        <w:t>人，实有人数</w:t>
      </w:r>
      <w:r>
        <w:rPr>
          <w:rFonts w:hint="eastAsia" w:eastAsia="仿宋_GB2312"/>
          <w:color w:val="000000"/>
          <w:sz w:val="32"/>
          <w:szCs w:val="32"/>
        </w:rPr>
        <w:t>3</w:t>
      </w:r>
      <w:r>
        <w:rPr>
          <w:rFonts w:eastAsia="仿宋_GB2312"/>
          <w:color w:val="000000"/>
          <w:sz w:val="32"/>
          <w:szCs w:val="32"/>
        </w:rPr>
        <w:t>人。本部门包含下属二级单位</w:t>
      </w:r>
      <w:r>
        <w:rPr>
          <w:rFonts w:hint="eastAsia" w:eastAsia="仿宋_GB2312"/>
          <w:color w:val="000000"/>
          <w:sz w:val="32"/>
          <w:szCs w:val="32"/>
        </w:rPr>
        <w:t>1</w:t>
      </w:r>
      <w:r>
        <w:rPr>
          <w:rFonts w:eastAsia="仿宋_GB2312"/>
          <w:color w:val="000000"/>
          <w:sz w:val="32"/>
          <w:szCs w:val="32"/>
        </w:rPr>
        <w:t>个，为</w:t>
      </w:r>
      <w:r>
        <w:rPr>
          <w:rFonts w:hint="eastAsia" w:eastAsia="仿宋_GB2312"/>
          <w:color w:val="000000"/>
          <w:sz w:val="32"/>
          <w:szCs w:val="32"/>
        </w:rPr>
        <w:t>醴陵市华侨服务中心。</w:t>
      </w:r>
      <w:r>
        <w:rPr>
          <w:rFonts w:hint="eastAsia" w:eastAsia="仿宋_GB2312"/>
          <w:color w:val="000000"/>
          <w:sz w:val="32"/>
          <w:szCs w:val="32"/>
          <w:lang w:eastAsia="zh-CN"/>
        </w:rPr>
        <w:t>本部门无独立核算的二级预算单位。</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三、</w:t>
      </w:r>
      <w:r>
        <w:rPr>
          <w:rFonts w:eastAsia="黑体"/>
          <w:color w:val="000000"/>
          <w:sz w:val="32"/>
          <w:szCs w:val="32"/>
        </w:rPr>
        <w:t xml:space="preserve"> </w:t>
      </w:r>
      <w:r>
        <w:rPr>
          <w:rFonts w:hAnsi="黑体" w:eastAsia="黑体"/>
          <w:color w:val="000000"/>
          <w:sz w:val="32"/>
          <w:szCs w:val="32"/>
        </w:rPr>
        <w:t>部门收支概况</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2021年部门预算编报范围包括局机关及所属二级预算单位。收入包括一般公共预算收入；支出既包括保障机关及直属单位基本运行的经费。</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（一）收入预算：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34.24</w:t>
      </w:r>
      <w:r>
        <w:rPr>
          <w:rFonts w:eastAsia="仿宋_GB2312"/>
          <w:color w:val="000000"/>
          <w:sz w:val="32"/>
          <w:szCs w:val="32"/>
        </w:rPr>
        <w:t>万元，其中，一般公共预算拨款</w:t>
      </w:r>
      <w:r>
        <w:rPr>
          <w:rFonts w:hint="eastAsia" w:eastAsia="仿宋_GB2312"/>
          <w:color w:val="000000"/>
          <w:sz w:val="32"/>
          <w:szCs w:val="32"/>
        </w:rPr>
        <w:t>34.24</w:t>
      </w:r>
      <w:r>
        <w:rPr>
          <w:rFonts w:eastAsia="仿宋_GB2312"/>
          <w:color w:val="000000"/>
          <w:sz w:val="32"/>
          <w:szCs w:val="32"/>
        </w:rPr>
        <w:t>万元。因上年结转数暂未最终确定，本年度收支预算中均不含上年结转数字</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（二）支出预算：</w:t>
      </w:r>
      <w:r>
        <w:rPr>
          <w:rFonts w:hint="eastAsia" w:eastAsia="仿宋_GB2312"/>
          <w:color w:val="000000"/>
          <w:sz w:val="32"/>
          <w:szCs w:val="32"/>
        </w:rPr>
        <w:t>2021</w:t>
      </w:r>
      <w:r>
        <w:rPr>
          <w:rFonts w:eastAsia="仿宋_GB2312"/>
          <w:color w:val="000000"/>
          <w:sz w:val="32"/>
          <w:szCs w:val="32"/>
        </w:rPr>
        <w:t>年年初预算数</w:t>
      </w:r>
      <w:r>
        <w:rPr>
          <w:rFonts w:hint="eastAsia" w:eastAsia="仿宋_GB2312"/>
          <w:color w:val="000000"/>
          <w:sz w:val="32"/>
          <w:szCs w:val="32"/>
        </w:rPr>
        <w:t>34.24</w:t>
      </w:r>
      <w:r>
        <w:rPr>
          <w:rFonts w:eastAsia="仿宋_GB2312"/>
          <w:color w:val="000000"/>
          <w:sz w:val="32"/>
          <w:szCs w:val="32"/>
        </w:rPr>
        <w:t>万元，其中，一般公共服务支出</w:t>
      </w:r>
      <w:r>
        <w:rPr>
          <w:rFonts w:hint="eastAsia" w:eastAsia="仿宋_GB2312"/>
          <w:color w:val="000000"/>
          <w:sz w:val="32"/>
          <w:szCs w:val="32"/>
        </w:rPr>
        <w:t>33.17</w:t>
      </w:r>
      <w:r>
        <w:rPr>
          <w:rFonts w:eastAsia="仿宋_GB2312"/>
          <w:color w:val="000000"/>
          <w:sz w:val="32"/>
          <w:szCs w:val="32"/>
        </w:rPr>
        <w:t>万元，</w:t>
      </w:r>
      <w:r>
        <w:rPr>
          <w:rFonts w:hint="eastAsia" w:eastAsia="仿宋_GB2312"/>
          <w:color w:val="000000"/>
          <w:sz w:val="32"/>
          <w:szCs w:val="32"/>
        </w:rPr>
        <w:t>卫生健康支出1.07</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具体安排如下：</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1.基本支出：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34.24</w:t>
      </w:r>
      <w:r>
        <w:rPr>
          <w:rFonts w:eastAsia="仿宋_GB2312"/>
          <w:color w:val="000000"/>
          <w:sz w:val="32"/>
          <w:szCs w:val="32"/>
        </w:rPr>
        <w:t>万元，是指为保障单位机构正常运转、完成日常工作任务而发生的各项支出，包括用于基本工资、津贴补贴等人员经费以及日常公用经费、</w:t>
      </w:r>
      <w:r>
        <w:rPr>
          <w:rFonts w:hint="eastAsia" w:eastAsia="仿宋_GB2312"/>
          <w:color w:val="000000"/>
          <w:sz w:val="32"/>
          <w:szCs w:val="32"/>
        </w:rPr>
        <w:t>工作性专项</w:t>
      </w:r>
      <w:r>
        <w:rPr>
          <w:rFonts w:eastAsia="仿宋_GB2312"/>
          <w:color w:val="000000"/>
          <w:sz w:val="32"/>
          <w:szCs w:val="32"/>
        </w:rPr>
        <w:t>。其中包括</w:t>
      </w:r>
      <w:r>
        <w:rPr>
          <w:rFonts w:hint="eastAsia" w:eastAsia="仿宋_GB2312"/>
          <w:color w:val="000000"/>
          <w:sz w:val="32"/>
          <w:szCs w:val="32"/>
        </w:rPr>
        <w:t>工资福利支出21.19</w:t>
      </w:r>
      <w:r>
        <w:rPr>
          <w:rFonts w:eastAsia="仿宋_GB2312"/>
          <w:color w:val="000000"/>
          <w:sz w:val="32"/>
          <w:szCs w:val="32"/>
        </w:rPr>
        <w:t>万元、</w:t>
      </w:r>
      <w:r>
        <w:rPr>
          <w:rFonts w:hint="eastAsia" w:eastAsia="仿宋_GB2312"/>
          <w:color w:val="000000"/>
          <w:sz w:val="32"/>
          <w:szCs w:val="32"/>
        </w:rPr>
        <w:t>一般商品和服务支出2.05</w:t>
      </w:r>
      <w:r>
        <w:rPr>
          <w:rFonts w:eastAsia="仿宋_GB2312"/>
          <w:color w:val="000000"/>
          <w:sz w:val="32"/>
          <w:szCs w:val="32"/>
        </w:rPr>
        <w:t>万元、</w:t>
      </w:r>
      <w:r>
        <w:rPr>
          <w:rFonts w:hint="eastAsia" w:eastAsia="仿宋_GB2312"/>
          <w:color w:val="000000"/>
          <w:sz w:val="32"/>
          <w:szCs w:val="32"/>
        </w:rPr>
        <w:t>工作性专项11万元</w:t>
      </w:r>
      <w:r>
        <w:rPr>
          <w:rFonts w:eastAsia="仿宋_GB2312"/>
          <w:color w:val="000000"/>
          <w:sz w:val="32"/>
          <w:szCs w:val="32"/>
        </w:rPr>
        <w:t>。</w:t>
      </w:r>
    </w:p>
    <w:p>
      <w:pPr>
        <w:tabs>
          <w:tab w:val="left" w:pos="7560"/>
        </w:tabs>
        <w:adjustRightInd w:val="0"/>
        <w:snapToGrid w:val="0"/>
        <w:spacing w:line="560" w:lineRule="exact"/>
        <w:ind w:firstLine="643" w:firstLineChars="200"/>
        <w:jc w:val="left"/>
        <w:rPr>
          <w:rFonts w:eastAsia="仿宋_GB2312"/>
          <w:color w:val="000000"/>
          <w:sz w:val="32"/>
          <w:szCs w:val="32"/>
        </w:rPr>
      </w:pPr>
      <w:r>
        <w:rPr>
          <w:rFonts w:eastAsia="仿宋_GB2312"/>
          <w:b/>
          <w:color w:val="000000"/>
          <w:sz w:val="32"/>
          <w:szCs w:val="32"/>
        </w:rPr>
        <w:t>2.项目支出：</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（三）预算收支增减变化情况说明：</w:t>
      </w: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年度本单位年初预算数为</w:t>
      </w:r>
      <w:r>
        <w:rPr>
          <w:rFonts w:hint="eastAsia" w:eastAsia="仿宋_GB2312"/>
          <w:color w:val="000000"/>
          <w:sz w:val="32"/>
          <w:szCs w:val="32"/>
        </w:rPr>
        <w:t>34.24</w:t>
      </w:r>
      <w:r>
        <w:rPr>
          <w:rFonts w:eastAsia="仿宋_GB2312"/>
          <w:color w:val="000000"/>
          <w:sz w:val="32"/>
          <w:szCs w:val="32"/>
        </w:rPr>
        <w:t>万元，比上年增加</w:t>
      </w:r>
      <w:r>
        <w:rPr>
          <w:rFonts w:hint="eastAsia" w:eastAsia="仿宋_GB2312"/>
          <w:color w:val="000000"/>
          <w:sz w:val="32"/>
          <w:szCs w:val="32"/>
        </w:rPr>
        <w:t>15.08</w:t>
      </w:r>
      <w:r>
        <w:rPr>
          <w:rFonts w:eastAsia="仿宋_GB2312"/>
          <w:color w:val="000000"/>
          <w:sz w:val="32"/>
          <w:szCs w:val="32"/>
        </w:rPr>
        <w:t>万元，主要原因是</w:t>
      </w:r>
      <w:r>
        <w:rPr>
          <w:rFonts w:hint="eastAsia" w:eastAsia="仿宋_GB2312"/>
          <w:color w:val="000000"/>
          <w:sz w:val="32"/>
          <w:szCs w:val="32"/>
        </w:rPr>
        <w:t>预算</w:t>
      </w:r>
      <w:r>
        <w:rPr>
          <w:rFonts w:eastAsia="仿宋_GB2312"/>
          <w:color w:val="000000"/>
          <w:sz w:val="32"/>
          <w:szCs w:val="32"/>
        </w:rPr>
        <w:t>人员增加，造成人员经费和运转经费</w:t>
      </w:r>
      <w:r>
        <w:rPr>
          <w:rFonts w:hint="eastAsia" w:eastAsia="仿宋_GB2312"/>
          <w:color w:val="000000"/>
          <w:sz w:val="32"/>
          <w:szCs w:val="32"/>
        </w:rPr>
        <w:t>增加。</w:t>
      </w:r>
    </w:p>
    <w:p>
      <w:pPr>
        <w:tabs>
          <w:tab w:val="left" w:pos="7560"/>
        </w:tabs>
        <w:adjustRightInd w:val="0"/>
        <w:snapToGrid w:val="0"/>
        <w:spacing w:line="560" w:lineRule="exact"/>
        <w:ind w:firstLine="640" w:firstLineChars="200"/>
        <w:jc w:val="left"/>
        <w:rPr>
          <w:rFonts w:eastAsia="黑体"/>
          <w:color w:val="000000"/>
          <w:sz w:val="32"/>
          <w:szCs w:val="32"/>
        </w:rPr>
      </w:pPr>
      <w:r>
        <w:rPr>
          <w:rFonts w:hAnsi="黑体" w:eastAsia="黑体"/>
          <w:color w:val="000000"/>
          <w:sz w:val="32"/>
          <w:szCs w:val="32"/>
        </w:rPr>
        <w:t>四、其他重要事项情况说明</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（一）机关运行经费：</w:t>
      </w:r>
      <w:r>
        <w:rPr>
          <w:rFonts w:eastAsia="仿宋_GB2312"/>
          <w:color w:val="000000"/>
          <w:sz w:val="32"/>
          <w:szCs w:val="32"/>
        </w:rPr>
        <w:t>本部门</w:t>
      </w:r>
      <w:r>
        <w:rPr>
          <w:rFonts w:hint="eastAsia" w:eastAsia="仿宋_GB2312"/>
          <w:color w:val="000000"/>
          <w:sz w:val="32"/>
          <w:szCs w:val="32"/>
        </w:rPr>
        <w:t>2021</w:t>
      </w:r>
      <w:r>
        <w:rPr>
          <w:rFonts w:eastAsia="仿宋_GB2312"/>
          <w:color w:val="000000"/>
          <w:sz w:val="32"/>
          <w:szCs w:val="32"/>
        </w:rPr>
        <w:t>年年初预算机关运行经费(商品和服务支出+</w:t>
      </w:r>
      <w:r>
        <w:rPr>
          <w:rFonts w:hint="eastAsia" w:eastAsia="仿宋_GB2312"/>
          <w:color w:val="000000"/>
          <w:sz w:val="32"/>
          <w:szCs w:val="32"/>
        </w:rPr>
        <w:t>工作性</w:t>
      </w:r>
      <w:r>
        <w:rPr>
          <w:rFonts w:eastAsia="仿宋_GB2312"/>
          <w:color w:val="000000"/>
          <w:sz w:val="32"/>
          <w:szCs w:val="32"/>
        </w:rPr>
        <w:t>专项)共安排</w:t>
      </w:r>
      <w:r>
        <w:rPr>
          <w:rFonts w:hint="eastAsia" w:eastAsia="仿宋_GB2312"/>
          <w:color w:val="000000"/>
          <w:sz w:val="32"/>
          <w:szCs w:val="32"/>
        </w:rPr>
        <w:t>13.05</w:t>
      </w:r>
      <w:r>
        <w:rPr>
          <w:rFonts w:eastAsia="仿宋_GB2312"/>
          <w:color w:val="000000"/>
          <w:sz w:val="32"/>
          <w:szCs w:val="32"/>
        </w:rPr>
        <w:t>万元，比上年度预算增加</w:t>
      </w:r>
      <w:r>
        <w:rPr>
          <w:rFonts w:hint="eastAsia" w:eastAsia="仿宋_GB2312"/>
          <w:color w:val="000000"/>
          <w:sz w:val="32"/>
          <w:szCs w:val="32"/>
        </w:rPr>
        <w:t>5.93</w:t>
      </w:r>
      <w:r>
        <w:rPr>
          <w:rFonts w:eastAsia="仿宋_GB2312"/>
          <w:color w:val="000000"/>
          <w:sz w:val="32"/>
          <w:szCs w:val="32"/>
        </w:rPr>
        <w:t>万元，</w:t>
      </w:r>
      <w:r>
        <w:rPr>
          <w:rFonts w:eastAsia="仿宋_GB2312"/>
          <w:bCs/>
          <w:color w:val="000000"/>
          <w:sz w:val="32"/>
          <w:szCs w:val="32"/>
        </w:rPr>
        <w:t>增加的主要原因是</w:t>
      </w:r>
      <w:r>
        <w:rPr>
          <w:rFonts w:hint="eastAsia" w:eastAsia="仿宋_GB2312"/>
          <w:color w:val="000000"/>
          <w:sz w:val="32"/>
          <w:szCs w:val="32"/>
        </w:rPr>
        <w:t>预算</w:t>
      </w:r>
      <w:r>
        <w:rPr>
          <w:rFonts w:eastAsia="仿宋_GB2312"/>
          <w:color w:val="000000"/>
          <w:sz w:val="32"/>
          <w:szCs w:val="32"/>
        </w:rPr>
        <w:t>人员增加</w:t>
      </w:r>
      <w:r>
        <w:rPr>
          <w:rFonts w:hint="eastAsia" w:eastAsia="仿宋_GB2312"/>
          <w:color w:val="000000"/>
          <w:sz w:val="32"/>
          <w:szCs w:val="32"/>
        </w:rPr>
        <w:t>以及事务增多。</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（二)政府采购预算：</w:t>
      </w:r>
      <w:r>
        <w:rPr>
          <w:rFonts w:hint="eastAsia" w:eastAsia="仿宋_GB2312"/>
          <w:color w:val="000000"/>
          <w:sz w:val="32"/>
          <w:szCs w:val="32"/>
        </w:rPr>
        <w:t>2021</w:t>
      </w:r>
      <w:r>
        <w:rPr>
          <w:rFonts w:eastAsia="仿宋_GB2312"/>
          <w:color w:val="000000"/>
          <w:sz w:val="32"/>
          <w:szCs w:val="32"/>
        </w:rPr>
        <w:t>年年初预算数为</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lang w:eastAsia="zh-CN"/>
        </w:rPr>
        <w:t>，</w:t>
      </w:r>
      <w:r>
        <w:rPr>
          <w:rFonts w:hint="eastAsia" w:eastAsia="仿宋_GB2312"/>
          <w:color w:val="000000"/>
          <w:sz w:val="32"/>
          <w:szCs w:val="32"/>
          <w:lang w:val="en-US" w:eastAsia="zh-CN"/>
        </w:rPr>
        <w:t>其中包括：</w:t>
      </w:r>
      <w:r>
        <w:rPr>
          <w:rFonts w:eastAsia="楷体_GB2312"/>
          <w:bCs/>
          <w:color w:val="000000"/>
          <w:sz w:val="32"/>
          <w:szCs w:val="32"/>
        </w:rPr>
        <w:t>政府采购</w:t>
      </w:r>
      <w:r>
        <w:rPr>
          <w:rFonts w:hint="eastAsia" w:eastAsia="楷体_GB2312"/>
          <w:bCs/>
          <w:color w:val="000000"/>
          <w:sz w:val="32"/>
          <w:szCs w:val="32"/>
          <w:lang w:val="en-US" w:eastAsia="zh-CN"/>
        </w:rPr>
        <w:t>服务类</w:t>
      </w:r>
      <w:r>
        <w:rPr>
          <w:rFonts w:hint="eastAsia" w:eastAsia="仿宋_GB2312"/>
          <w:color w:val="000000"/>
          <w:sz w:val="32"/>
          <w:szCs w:val="32"/>
        </w:rPr>
        <w:t>0</w:t>
      </w:r>
      <w:r>
        <w:rPr>
          <w:rFonts w:eastAsia="仿宋_GB2312"/>
          <w:color w:val="000000"/>
          <w:sz w:val="32"/>
          <w:szCs w:val="32"/>
        </w:rPr>
        <w:t>万元</w:t>
      </w:r>
      <w:r>
        <w:rPr>
          <w:rFonts w:hint="eastAsia" w:eastAsia="楷体_GB2312"/>
          <w:bCs/>
          <w:color w:val="000000"/>
          <w:sz w:val="32"/>
          <w:szCs w:val="32"/>
          <w:lang w:val="en-US" w:eastAsia="zh-CN"/>
        </w:rPr>
        <w:t>、</w:t>
      </w:r>
      <w:r>
        <w:rPr>
          <w:rFonts w:eastAsia="楷体_GB2312"/>
          <w:bCs/>
          <w:color w:val="000000"/>
          <w:sz w:val="32"/>
          <w:szCs w:val="32"/>
        </w:rPr>
        <w:t>政府采购</w:t>
      </w:r>
      <w:r>
        <w:rPr>
          <w:rFonts w:hint="eastAsia" w:eastAsia="楷体_GB2312"/>
          <w:bCs/>
          <w:color w:val="000000"/>
          <w:sz w:val="32"/>
          <w:szCs w:val="32"/>
          <w:lang w:val="en-US" w:eastAsia="zh-CN"/>
        </w:rPr>
        <w:t>工程类</w:t>
      </w:r>
      <w:r>
        <w:rPr>
          <w:rFonts w:hint="eastAsia" w:eastAsia="仿宋_GB2312"/>
          <w:color w:val="000000"/>
          <w:sz w:val="32"/>
          <w:szCs w:val="32"/>
        </w:rPr>
        <w:t>0</w:t>
      </w:r>
      <w:r>
        <w:rPr>
          <w:rFonts w:eastAsia="仿宋_GB2312"/>
          <w:color w:val="000000"/>
          <w:sz w:val="32"/>
          <w:szCs w:val="32"/>
        </w:rPr>
        <w:t>万元</w:t>
      </w:r>
      <w:r>
        <w:rPr>
          <w:rFonts w:hint="eastAsia" w:eastAsia="仿宋_GB2312"/>
          <w:color w:val="000000"/>
          <w:sz w:val="32"/>
          <w:szCs w:val="32"/>
          <w:lang w:eastAsia="zh-CN"/>
        </w:rPr>
        <w:t>、</w:t>
      </w:r>
      <w:r>
        <w:rPr>
          <w:rFonts w:eastAsia="楷体_GB2312"/>
          <w:bCs/>
          <w:color w:val="000000"/>
          <w:sz w:val="32"/>
          <w:szCs w:val="32"/>
        </w:rPr>
        <w:t>政府采购</w:t>
      </w:r>
      <w:r>
        <w:rPr>
          <w:rFonts w:hint="eastAsia" w:eastAsia="楷体_GB2312"/>
          <w:bCs/>
          <w:color w:val="000000"/>
          <w:sz w:val="32"/>
          <w:szCs w:val="32"/>
          <w:lang w:val="en-US" w:eastAsia="zh-CN"/>
        </w:rPr>
        <w:t>货物类</w:t>
      </w:r>
      <w:r>
        <w:rPr>
          <w:rFonts w:hint="eastAsia" w:eastAsia="仿宋_GB2312"/>
          <w:color w:val="000000"/>
          <w:sz w:val="32"/>
          <w:szCs w:val="32"/>
        </w:rPr>
        <w:t>0</w:t>
      </w:r>
      <w:r>
        <w:rPr>
          <w:rFonts w:eastAsia="仿宋_GB2312"/>
          <w:color w:val="000000"/>
          <w:sz w:val="32"/>
          <w:szCs w:val="32"/>
        </w:rPr>
        <w:t>万元。</w:t>
      </w:r>
      <w:bookmarkStart w:id="0" w:name="_GoBack"/>
      <w:bookmarkEnd w:id="0"/>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楷体_GB2312"/>
          <w:bCs/>
          <w:color w:val="000000"/>
          <w:sz w:val="32"/>
          <w:szCs w:val="32"/>
        </w:rPr>
        <w:t>（三）国有资产占有情况：</w:t>
      </w:r>
      <w:r>
        <w:rPr>
          <w:rFonts w:eastAsia="仿宋_GB2312"/>
          <w:color w:val="000000"/>
          <w:sz w:val="32"/>
          <w:szCs w:val="32"/>
        </w:rPr>
        <w:t>截止20</w:t>
      </w:r>
      <w:r>
        <w:rPr>
          <w:rFonts w:hint="eastAsia" w:eastAsia="仿宋_GB2312"/>
          <w:color w:val="000000"/>
          <w:sz w:val="32"/>
          <w:szCs w:val="32"/>
        </w:rPr>
        <w:t>20</w:t>
      </w:r>
      <w:r>
        <w:rPr>
          <w:rFonts w:eastAsia="仿宋_GB2312"/>
          <w:color w:val="000000"/>
          <w:sz w:val="32"/>
          <w:szCs w:val="32"/>
        </w:rPr>
        <w:t xml:space="preserve">年12月31日，本部门共有办公及业务用房 </w:t>
      </w:r>
      <w:r>
        <w:rPr>
          <w:rFonts w:hint="eastAsia" w:eastAsia="仿宋_GB2312"/>
          <w:color w:val="000000"/>
          <w:sz w:val="32"/>
          <w:szCs w:val="32"/>
        </w:rPr>
        <w:t>0</w:t>
      </w:r>
      <w:r>
        <w:rPr>
          <w:rFonts w:eastAsia="仿宋_GB2312"/>
          <w:color w:val="000000"/>
          <w:sz w:val="32"/>
          <w:szCs w:val="32"/>
        </w:rPr>
        <w:t>平方米；车辆</w:t>
      </w:r>
      <w:r>
        <w:rPr>
          <w:rFonts w:hint="eastAsia" w:eastAsia="仿宋_GB2312"/>
          <w:color w:val="000000"/>
          <w:sz w:val="32"/>
          <w:szCs w:val="32"/>
        </w:rPr>
        <w:t>0</w:t>
      </w:r>
      <w:r>
        <w:rPr>
          <w:rFonts w:eastAsia="仿宋_GB2312"/>
          <w:color w:val="000000"/>
          <w:sz w:val="32"/>
          <w:szCs w:val="32"/>
        </w:rPr>
        <w:t>辆；单位价值200万以上大型设备</w:t>
      </w:r>
      <w:r>
        <w:rPr>
          <w:rFonts w:hint="eastAsia" w:eastAsia="仿宋_GB2312"/>
          <w:color w:val="000000"/>
          <w:sz w:val="32"/>
          <w:szCs w:val="32"/>
        </w:rPr>
        <w:t>0</w:t>
      </w:r>
      <w:r>
        <w:rPr>
          <w:rFonts w:eastAsia="仿宋_GB2312"/>
          <w:color w:val="000000"/>
          <w:sz w:val="32"/>
          <w:szCs w:val="32"/>
        </w:rPr>
        <w:t>套。202</w:t>
      </w:r>
      <w:r>
        <w:rPr>
          <w:rFonts w:hint="eastAsia" w:eastAsia="仿宋_GB2312"/>
          <w:color w:val="000000"/>
          <w:sz w:val="32"/>
          <w:szCs w:val="32"/>
        </w:rPr>
        <w:t>1</w:t>
      </w:r>
      <w:r>
        <w:rPr>
          <w:rFonts w:eastAsia="仿宋_GB2312"/>
          <w:color w:val="000000"/>
          <w:sz w:val="32"/>
          <w:szCs w:val="32"/>
        </w:rPr>
        <w:t>年部门预算安排购置车辆</w:t>
      </w:r>
      <w:r>
        <w:rPr>
          <w:rFonts w:hint="eastAsia" w:eastAsia="仿宋_GB2312"/>
          <w:color w:val="000000"/>
          <w:sz w:val="32"/>
          <w:szCs w:val="32"/>
        </w:rPr>
        <w:t>0</w:t>
      </w:r>
      <w:r>
        <w:rPr>
          <w:rFonts w:eastAsia="仿宋_GB2312"/>
          <w:color w:val="000000"/>
          <w:sz w:val="32"/>
          <w:szCs w:val="32"/>
        </w:rPr>
        <w:t>辆，预算安排购置价值200万以上大型设备</w:t>
      </w:r>
      <w:r>
        <w:rPr>
          <w:rFonts w:hint="eastAsia" w:eastAsia="仿宋_GB2312"/>
          <w:color w:val="000000"/>
          <w:sz w:val="32"/>
          <w:szCs w:val="32"/>
        </w:rPr>
        <w:t>0</w:t>
      </w:r>
      <w:r>
        <w:rPr>
          <w:rFonts w:eastAsia="仿宋_GB2312"/>
          <w:color w:val="000000"/>
          <w:sz w:val="32"/>
          <w:szCs w:val="32"/>
        </w:rPr>
        <w:t>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楷体_GB2312"/>
          <w:bCs/>
          <w:color w:val="000000"/>
          <w:sz w:val="32"/>
          <w:szCs w:val="32"/>
        </w:rPr>
        <w:t>（四）预算绩效目标：</w:t>
      </w:r>
      <w:r>
        <w:rPr>
          <w:rFonts w:eastAsia="仿宋_GB2312"/>
          <w:color w:val="000000"/>
          <w:sz w:val="32"/>
          <w:szCs w:val="32"/>
        </w:rPr>
        <w:t>本部门整体支出和项目支出实行绩效目标管理，纳入20</w:t>
      </w:r>
      <w:r>
        <w:rPr>
          <w:rFonts w:hint="eastAsia" w:eastAsia="仿宋_GB2312"/>
          <w:color w:val="000000"/>
          <w:sz w:val="32"/>
          <w:szCs w:val="32"/>
        </w:rPr>
        <w:t>21</w:t>
      </w:r>
      <w:r>
        <w:rPr>
          <w:rFonts w:eastAsia="仿宋_GB2312"/>
          <w:color w:val="000000"/>
          <w:sz w:val="32"/>
          <w:szCs w:val="32"/>
        </w:rPr>
        <w:t>年部门整体支出绩效目标的金额为</w:t>
      </w:r>
      <w:r>
        <w:rPr>
          <w:rFonts w:hint="eastAsia" w:eastAsia="仿宋_GB2312"/>
          <w:color w:val="000000"/>
          <w:sz w:val="32"/>
          <w:szCs w:val="32"/>
        </w:rPr>
        <w:t>34.24</w:t>
      </w:r>
      <w:r>
        <w:rPr>
          <w:rFonts w:eastAsia="仿宋_GB2312"/>
          <w:color w:val="000000"/>
          <w:sz w:val="32"/>
          <w:szCs w:val="32"/>
        </w:rPr>
        <w:t>万元，其中，基本支出</w:t>
      </w:r>
      <w:r>
        <w:rPr>
          <w:rFonts w:hint="eastAsia" w:eastAsia="仿宋_GB2312"/>
          <w:color w:val="000000"/>
          <w:sz w:val="32"/>
          <w:szCs w:val="32"/>
        </w:rPr>
        <w:t>34.24</w:t>
      </w:r>
      <w:r>
        <w:rPr>
          <w:rFonts w:eastAsia="仿宋_GB2312"/>
          <w:color w:val="000000"/>
          <w:sz w:val="32"/>
          <w:szCs w:val="32"/>
        </w:rPr>
        <w:t>万元，项目支出</w:t>
      </w:r>
      <w:r>
        <w:rPr>
          <w:rFonts w:hint="eastAsia" w:eastAsia="仿宋_GB2312"/>
          <w:color w:val="000000"/>
          <w:sz w:val="32"/>
          <w:szCs w:val="32"/>
        </w:rPr>
        <w:t>0</w:t>
      </w:r>
      <w:r>
        <w:rPr>
          <w:rFonts w:eastAsia="仿宋_GB2312"/>
          <w:color w:val="000000"/>
          <w:sz w:val="32"/>
          <w:szCs w:val="32"/>
        </w:rPr>
        <w:t>万元。 </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（五）“三公”经费预算：</w:t>
      </w:r>
    </w:p>
    <w:p>
      <w:pPr>
        <w:tabs>
          <w:tab w:val="left" w:pos="7560"/>
        </w:tabs>
        <w:adjustRightInd w:val="0"/>
        <w:snapToGrid w:val="0"/>
        <w:spacing w:line="560" w:lineRule="exact"/>
        <w:ind w:firstLine="640" w:firstLineChars="200"/>
        <w:jc w:val="left"/>
        <w:rPr>
          <w:rFonts w:eastAsia="仿宋_GB2312"/>
          <w:b/>
          <w:bCs/>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w:t>
      </w:r>
      <w:r>
        <w:rPr>
          <w:rFonts w:hint="eastAsia" w:eastAsia="仿宋_GB2312"/>
          <w:color w:val="000000"/>
          <w:sz w:val="32"/>
          <w:szCs w:val="32"/>
        </w:rPr>
        <w:t>1.3</w:t>
      </w:r>
      <w:r>
        <w:rPr>
          <w:rFonts w:eastAsia="仿宋_GB2312"/>
          <w:color w:val="000000"/>
          <w:sz w:val="32"/>
          <w:szCs w:val="32"/>
        </w:rPr>
        <w:t>万元，其中：公务接待费</w:t>
      </w:r>
      <w:r>
        <w:rPr>
          <w:rFonts w:hint="eastAsia" w:eastAsia="仿宋_GB2312"/>
          <w:color w:val="000000"/>
          <w:sz w:val="32"/>
          <w:szCs w:val="32"/>
        </w:rPr>
        <w:t>1.3</w:t>
      </w:r>
      <w:r>
        <w:rPr>
          <w:rFonts w:eastAsia="仿宋_GB2312"/>
          <w:color w:val="000000"/>
          <w:sz w:val="32"/>
          <w:szCs w:val="32"/>
        </w:rPr>
        <w:t>万元、公务用车购置费</w:t>
      </w:r>
      <w:r>
        <w:rPr>
          <w:rFonts w:hint="eastAsia" w:eastAsia="仿宋_GB2312"/>
          <w:color w:val="000000"/>
          <w:sz w:val="32"/>
          <w:szCs w:val="32"/>
        </w:rPr>
        <w:t>0</w:t>
      </w:r>
      <w:r>
        <w:rPr>
          <w:rFonts w:eastAsia="仿宋_GB2312"/>
          <w:color w:val="000000"/>
          <w:sz w:val="32"/>
          <w:szCs w:val="32"/>
        </w:rPr>
        <w:t>万元，公务用车运行费</w:t>
      </w:r>
      <w:r>
        <w:rPr>
          <w:rFonts w:hint="eastAsia" w:eastAsia="仿宋_GB2312"/>
          <w:color w:val="000000"/>
          <w:sz w:val="32"/>
          <w:szCs w:val="32"/>
        </w:rPr>
        <w:t>0</w:t>
      </w:r>
      <w:r>
        <w:rPr>
          <w:rFonts w:eastAsia="仿宋_GB2312"/>
          <w:color w:val="000000"/>
          <w:sz w:val="32"/>
          <w:szCs w:val="32"/>
        </w:rPr>
        <w:t>万元、因公出国（境）费</w:t>
      </w:r>
      <w:r>
        <w:rPr>
          <w:rFonts w:hint="eastAsia" w:eastAsia="仿宋_GB2312"/>
          <w:color w:val="000000"/>
          <w:sz w:val="32"/>
          <w:szCs w:val="32"/>
        </w:rPr>
        <w:t>0</w:t>
      </w:r>
      <w:r>
        <w:rPr>
          <w:rFonts w:eastAsia="仿宋_GB2312"/>
          <w:color w:val="000000"/>
          <w:sz w:val="32"/>
          <w:szCs w:val="32"/>
        </w:rPr>
        <w:t>万元。20</w:t>
      </w:r>
      <w:r>
        <w:rPr>
          <w:rFonts w:hint="eastAsia" w:eastAsia="仿宋_GB2312"/>
          <w:color w:val="000000"/>
          <w:sz w:val="32"/>
          <w:szCs w:val="32"/>
        </w:rPr>
        <w:t>21</w:t>
      </w:r>
      <w:r>
        <w:rPr>
          <w:rFonts w:eastAsia="仿宋_GB2312"/>
          <w:color w:val="000000"/>
          <w:sz w:val="32"/>
          <w:szCs w:val="32"/>
        </w:rPr>
        <w:t>年公务用车购置数</w:t>
      </w:r>
      <w:r>
        <w:rPr>
          <w:rFonts w:hint="eastAsia" w:eastAsia="仿宋_GB2312"/>
          <w:color w:val="000000"/>
          <w:sz w:val="32"/>
          <w:szCs w:val="32"/>
        </w:rPr>
        <w:t>0</w:t>
      </w:r>
      <w:r>
        <w:rPr>
          <w:rFonts w:eastAsia="仿宋_GB2312"/>
          <w:color w:val="000000"/>
          <w:sz w:val="32"/>
          <w:szCs w:val="32"/>
        </w:rPr>
        <w:t>台</w:t>
      </w:r>
      <w:r>
        <w:rPr>
          <w:rFonts w:eastAsia="仿宋_GB2312"/>
          <w:b/>
          <w:bCs/>
          <w:color w:val="000000"/>
          <w:sz w:val="32"/>
          <w:szCs w:val="32"/>
        </w:rPr>
        <w:t>。</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年“三公”经费预算数比20</w:t>
      </w:r>
      <w:r>
        <w:rPr>
          <w:rFonts w:hint="eastAsia" w:eastAsia="仿宋_GB2312"/>
          <w:color w:val="000000"/>
          <w:sz w:val="32"/>
          <w:szCs w:val="32"/>
        </w:rPr>
        <w:t>20</w:t>
      </w:r>
      <w:r>
        <w:rPr>
          <w:rFonts w:eastAsia="仿宋_GB2312"/>
          <w:color w:val="000000"/>
          <w:sz w:val="32"/>
          <w:szCs w:val="32"/>
        </w:rPr>
        <w:t>年减少</w:t>
      </w:r>
      <w:r>
        <w:rPr>
          <w:rFonts w:hint="eastAsia" w:eastAsia="仿宋_GB2312"/>
          <w:color w:val="000000"/>
          <w:sz w:val="32"/>
          <w:szCs w:val="32"/>
        </w:rPr>
        <w:t>0.2</w:t>
      </w:r>
      <w:r>
        <w:rPr>
          <w:rFonts w:eastAsia="仿宋_GB2312"/>
          <w:color w:val="000000"/>
          <w:sz w:val="32"/>
          <w:szCs w:val="32"/>
        </w:rPr>
        <w:t>万元，主要是</w:t>
      </w:r>
      <w:r>
        <w:rPr>
          <w:rFonts w:hint="eastAsia" w:eastAsia="仿宋_GB2312"/>
          <w:color w:val="000000"/>
          <w:sz w:val="32"/>
          <w:szCs w:val="32"/>
        </w:rPr>
        <w:t>根据上级要求，压缩三公经费</w:t>
      </w:r>
      <w:r>
        <w:rPr>
          <w:rFonts w:eastAsia="仿宋_GB2312"/>
          <w:color w:val="000000"/>
          <w:sz w:val="32"/>
          <w:szCs w:val="32"/>
        </w:rPr>
        <w:t>。</w:t>
      </w:r>
    </w:p>
    <w:p>
      <w:pPr>
        <w:tabs>
          <w:tab w:val="left" w:pos="7560"/>
        </w:tabs>
        <w:adjustRightInd w:val="0"/>
        <w:snapToGrid w:val="0"/>
        <w:spacing w:line="560" w:lineRule="exact"/>
        <w:ind w:firstLine="640" w:firstLineChars="200"/>
        <w:jc w:val="left"/>
        <w:rPr>
          <w:rFonts w:eastAsia="楷体_GB2312"/>
          <w:bCs/>
          <w:color w:val="000000"/>
          <w:sz w:val="32"/>
          <w:szCs w:val="32"/>
        </w:rPr>
      </w:pPr>
      <w:r>
        <w:rPr>
          <w:rFonts w:eastAsia="楷体_GB2312"/>
          <w:bCs/>
          <w:color w:val="000000"/>
          <w:sz w:val="32"/>
          <w:szCs w:val="32"/>
        </w:rPr>
        <w:t>（六）会议费、培训费预算：</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年预算安排会议费</w:t>
      </w:r>
      <w:r>
        <w:rPr>
          <w:rFonts w:hint="eastAsia" w:eastAsia="仿宋_GB2312"/>
          <w:color w:val="000000"/>
          <w:sz w:val="32"/>
          <w:szCs w:val="32"/>
        </w:rPr>
        <w:t>0</w:t>
      </w:r>
      <w:r>
        <w:rPr>
          <w:rFonts w:eastAsia="仿宋_GB2312"/>
          <w:color w:val="000000"/>
          <w:sz w:val="32"/>
          <w:szCs w:val="32"/>
        </w:rPr>
        <w:t>万元。</w:t>
      </w:r>
    </w:p>
    <w:p>
      <w:pPr>
        <w:tabs>
          <w:tab w:val="left" w:pos="7560"/>
        </w:tabs>
        <w:adjustRightInd w:val="0"/>
        <w:snapToGrid w:val="0"/>
        <w:spacing w:line="560" w:lineRule="exact"/>
        <w:ind w:firstLine="640" w:firstLineChars="200"/>
        <w:jc w:val="left"/>
        <w:rPr>
          <w:rFonts w:eastAsia="仿宋_GB2312"/>
          <w:color w:val="000000"/>
          <w:sz w:val="32"/>
          <w:szCs w:val="32"/>
        </w:rPr>
      </w:pPr>
      <w:r>
        <w:rPr>
          <w:rFonts w:eastAsia="仿宋_GB2312"/>
          <w:color w:val="000000"/>
          <w:sz w:val="32"/>
          <w:szCs w:val="32"/>
        </w:rPr>
        <w:t>20</w:t>
      </w:r>
      <w:r>
        <w:rPr>
          <w:rFonts w:hint="eastAsia" w:eastAsia="仿宋_GB2312"/>
          <w:color w:val="000000"/>
          <w:sz w:val="32"/>
          <w:szCs w:val="32"/>
        </w:rPr>
        <w:t>21</w:t>
      </w:r>
      <w:r>
        <w:rPr>
          <w:rFonts w:eastAsia="仿宋_GB2312"/>
          <w:color w:val="000000"/>
          <w:sz w:val="32"/>
          <w:szCs w:val="32"/>
        </w:rPr>
        <w:t>年预算安排培训费</w:t>
      </w:r>
      <w:r>
        <w:rPr>
          <w:rFonts w:hint="eastAsia" w:eastAsia="仿宋_GB2312"/>
          <w:color w:val="000000"/>
          <w:sz w:val="32"/>
          <w:szCs w:val="32"/>
        </w:rPr>
        <w:t>0</w:t>
      </w:r>
      <w:r>
        <w:rPr>
          <w:rFonts w:eastAsia="仿宋_GB2312"/>
          <w:color w:val="000000"/>
          <w:sz w:val="32"/>
          <w:szCs w:val="32"/>
        </w:rPr>
        <w:t>万元。</w:t>
      </w:r>
    </w:p>
    <w:p>
      <w:pPr>
        <w:widowControl/>
        <w:numPr>
          <w:ilvl w:val="0"/>
          <w:numId w:val="2"/>
        </w:numPr>
        <w:shd w:val="clear" w:color="auto" w:fill="FFFFFF"/>
        <w:spacing w:line="560" w:lineRule="exact"/>
        <w:ind w:firstLine="640" w:firstLineChars="200"/>
        <w:jc w:val="left"/>
        <w:rPr>
          <w:rFonts w:eastAsia="楷体_GB2312"/>
          <w:bCs/>
          <w:color w:val="000000"/>
          <w:sz w:val="32"/>
          <w:szCs w:val="32"/>
        </w:rPr>
      </w:pPr>
      <w:r>
        <w:rPr>
          <w:rFonts w:eastAsia="楷体_GB2312"/>
          <w:bCs/>
          <w:color w:val="000000"/>
          <w:sz w:val="32"/>
          <w:szCs w:val="32"/>
        </w:rPr>
        <w:t>其他事项。</w:t>
      </w:r>
    </w:p>
    <w:p>
      <w:pPr>
        <w:widowControl/>
        <w:shd w:val="clear" w:color="auto" w:fill="FFFFFF"/>
        <w:spacing w:line="560" w:lineRule="exact"/>
        <w:ind w:firstLine="640" w:firstLineChars="200"/>
        <w:jc w:val="left"/>
        <w:rPr>
          <w:rFonts w:ascii="仿宋_GB2312" w:hAnsi="仿宋_GB2312" w:eastAsia="仿宋_GB2312" w:cs="仿宋_GB2312"/>
          <w:bCs/>
          <w:color w:val="000000" w:themeColor="text1"/>
          <w:kern w:val="0"/>
          <w:sz w:val="32"/>
          <w:szCs w:val="32"/>
        </w:rPr>
      </w:pPr>
      <w:r>
        <w:rPr>
          <w:rFonts w:hint="eastAsia" w:ascii="仿宋_GB2312" w:hAnsi="仿宋_GB2312" w:eastAsia="仿宋_GB2312" w:cs="仿宋_GB2312"/>
          <w:color w:val="000000" w:themeColor="text1"/>
          <w:kern w:val="0"/>
          <w:sz w:val="32"/>
          <w:szCs w:val="32"/>
        </w:rPr>
        <w:t>1、本单位2021年预算未安排政府性基金预算、</w:t>
      </w:r>
      <w:r>
        <w:rPr>
          <w:rFonts w:hint="eastAsia" w:ascii="仿宋_GB2312" w:hAnsi="仿宋_GB2312" w:eastAsia="仿宋_GB2312" w:cs="仿宋_GB2312"/>
          <w:bCs/>
          <w:color w:val="000000" w:themeColor="text1"/>
          <w:kern w:val="0"/>
          <w:sz w:val="32"/>
          <w:szCs w:val="32"/>
        </w:rPr>
        <w:t>纳入专户管理的非税收入拨款。</w:t>
      </w:r>
    </w:p>
    <w:p>
      <w:pPr>
        <w:widowControl/>
        <w:shd w:val="clear" w:color="auto" w:fill="FFFFFF"/>
        <w:spacing w:line="560" w:lineRule="exact"/>
        <w:ind w:firstLine="627"/>
        <w:jc w:val="left"/>
        <w:rPr>
          <w:rFonts w:ascii="仿宋_GB2312" w:hAnsi="仿宋_GB2312" w:eastAsia="仿宋_GB2312" w:cs="仿宋_GB2312"/>
          <w:color w:val="000000" w:themeColor="text1"/>
          <w:kern w:val="0"/>
          <w:sz w:val="32"/>
          <w:szCs w:val="32"/>
        </w:rPr>
      </w:pPr>
      <w:r>
        <w:rPr>
          <w:rFonts w:hint="eastAsia" w:ascii="仿宋_GB2312" w:hAnsi="仿宋_GB2312" w:eastAsia="仿宋_GB2312" w:cs="仿宋_GB2312"/>
          <w:bCs/>
          <w:color w:val="000000" w:themeColor="text1"/>
          <w:kern w:val="0"/>
          <w:sz w:val="32"/>
          <w:szCs w:val="32"/>
        </w:rPr>
        <w:t>2、本单位无门户网站，部门预算统一在政府门户网站公开。</w:t>
      </w:r>
    </w:p>
    <w:p>
      <w:pPr>
        <w:tabs>
          <w:tab w:val="left" w:pos="7560"/>
        </w:tabs>
        <w:adjustRightInd w:val="0"/>
        <w:snapToGrid w:val="0"/>
        <w:spacing w:line="560" w:lineRule="exact"/>
        <w:ind w:firstLine="640" w:firstLineChars="200"/>
        <w:jc w:val="left"/>
        <w:rPr>
          <w:rFonts w:eastAsia="楷体_GB2312"/>
          <w:sz w:val="32"/>
          <w:szCs w:val="32"/>
        </w:rPr>
      </w:pPr>
    </w:p>
    <w:p>
      <w:pPr>
        <w:tabs>
          <w:tab w:val="left" w:pos="7560"/>
        </w:tabs>
        <w:adjustRightInd w:val="0"/>
        <w:snapToGrid w:val="0"/>
        <w:spacing w:line="560" w:lineRule="exact"/>
        <w:ind w:firstLine="643" w:firstLineChars="200"/>
        <w:jc w:val="left"/>
        <w:rPr>
          <w:rFonts w:eastAsia="仿宋_GB2312"/>
          <w:b/>
          <w:bCs/>
          <w:sz w:val="32"/>
          <w:szCs w:val="32"/>
        </w:rPr>
      </w:pPr>
      <w:r>
        <w:rPr>
          <w:rFonts w:eastAsia="仿宋_GB2312"/>
          <w:b/>
          <w:bCs/>
          <w:sz w:val="32"/>
          <w:szCs w:val="32"/>
        </w:rPr>
        <w:t>名词解释：</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1.一般公共预算:</w:t>
      </w:r>
      <w:r>
        <w:rPr>
          <w:rFonts w:eastAsia="仿宋_GB2312"/>
          <w:sz w:val="32"/>
          <w:szCs w:val="32"/>
        </w:rPr>
        <w:t xml:space="preserve"> 是对以税收为主体的财政收入，安排用于保障和改善民生、推动经济社会发展、维护国家安全、维持国家机构正常运转等方面的收支预算。一般公共预算收入即通常所指的“财政收入”，按照2015年1月1日起施行的新《预算法》，改称“一般公共预算收入”。全市一般公共预算收入由地方收入、上划中央收入、上划省级收入三部分构成。</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2.政府性基金预算:</w:t>
      </w:r>
      <w:r>
        <w:rPr>
          <w:rFonts w:eastAsia="仿宋_GB2312"/>
          <w:sz w:val="32"/>
          <w:szCs w:val="32"/>
        </w:rPr>
        <w:t xml:space="preserve"> 是对依照法律、行政法规的规定在一定期限内向特定对象征收、收取或者以其他方式筹集的资金，专项用于特定公共事业发展的收支预算。应当根据基金项目收入情况和实际支出需要，按基金项目编制，做到以收定支。</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 xml:space="preserve">3.国有资本经营预算: </w:t>
      </w:r>
      <w:r>
        <w:rPr>
          <w:rFonts w:eastAsia="仿宋_GB2312"/>
          <w:sz w:val="32"/>
          <w:szCs w:val="32"/>
        </w:rPr>
        <w:t>是对国有资本收益作出支出安排的收支预算。应当按照收支平衡的原则编制，不列赤字，并安排资金调入一般公共预算。</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4.社会保险基金预算:</w:t>
      </w:r>
      <w:r>
        <w:rPr>
          <w:rFonts w:eastAsia="仿宋_GB2312"/>
          <w:sz w:val="32"/>
          <w:szCs w:val="32"/>
        </w:rPr>
        <w:t xml:space="preserve"> 是对社会保险缴款、一般公共预算安排和其他方式筹集的资金，专项用于社会保险的收支预算。应当按照统筹层次和社会保险项目分别编制，做到收支平衡。</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5.基本支出：</w:t>
      </w:r>
      <w:r>
        <w:rPr>
          <w:rFonts w:eastAsia="仿宋_GB2312"/>
          <w:sz w:val="32"/>
          <w:szCs w:val="32"/>
        </w:rPr>
        <w:t>指为保障机构正常运转、完成日常工作任务而发生的人员支出和公用支出。</w:t>
      </w:r>
    </w:p>
    <w:p>
      <w:pPr>
        <w:tabs>
          <w:tab w:val="left" w:pos="7560"/>
        </w:tabs>
        <w:adjustRightInd w:val="0"/>
        <w:snapToGrid w:val="0"/>
        <w:spacing w:line="560" w:lineRule="exact"/>
        <w:ind w:firstLine="643" w:firstLineChars="200"/>
        <w:jc w:val="left"/>
        <w:rPr>
          <w:rFonts w:eastAsia="仿宋_GB2312"/>
          <w:sz w:val="32"/>
          <w:szCs w:val="32"/>
        </w:rPr>
      </w:pPr>
      <w:r>
        <w:rPr>
          <w:rFonts w:eastAsia="仿宋_GB2312"/>
          <w:b/>
          <w:sz w:val="32"/>
          <w:szCs w:val="32"/>
        </w:rPr>
        <w:t>6.项目支出：</w:t>
      </w:r>
      <w:r>
        <w:rPr>
          <w:rFonts w:eastAsia="仿宋_GB2312"/>
          <w:sz w:val="32"/>
          <w:szCs w:val="32"/>
        </w:rPr>
        <w:t>指在基本支出之外为完成特定行政任务和事业发展目标所发生的支出。</w:t>
      </w:r>
    </w:p>
    <w:p>
      <w:pPr>
        <w:tabs>
          <w:tab w:val="left" w:pos="7560"/>
        </w:tabs>
        <w:adjustRightInd w:val="0"/>
        <w:snapToGrid w:val="0"/>
        <w:spacing w:line="560" w:lineRule="exact"/>
        <w:ind w:firstLine="643" w:firstLineChars="200"/>
        <w:jc w:val="left"/>
        <w:rPr>
          <w:rFonts w:hint="eastAsia" w:eastAsia="仿宋_GB2312"/>
          <w:sz w:val="32"/>
          <w:szCs w:val="32"/>
          <w:lang w:eastAsia="zh-CN"/>
        </w:rPr>
      </w:pPr>
      <w:r>
        <w:rPr>
          <w:rFonts w:eastAsia="仿宋_GB2312"/>
          <w:b/>
          <w:sz w:val="32"/>
          <w:szCs w:val="32"/>
        </w:rPr>
        <w:t>7.“三公”经费：</w:t>
      </w:r>
      <w:r>
        <w:rPr>
          <w:rFonts w:eastAsia="仿宋_GB2312"/>
          <w:sz w:val="32"/>
          <w:szCs w:val="32"/>
        </w:rPr>
        <w:t>是指商品和服务支出中的因公出国（境）费用、公务用车购置及运行维护费和公务接待费。</w:t>
      </w:r>
    </w:p>
    <w:p>
      <w:pPr>
        <w:tabs>
          <w:tab w:val="left" w:pos="7560"/>
        </w:tabs>
        <w:adjustRightInd w:val="0"/>
        <w:snapToGrid w:val="0"/>
        <w:spacing w:line="560" w:lineRule="exact"/>
        <w:ind w:firstLine="640" w:firstLineChars="200"/>
        <w:jc w:val="left"/>
        <w:rPr>
          <w:rFonts w:eastAsia="仿宋_GB2312"/>
          <w:sz w:val="32"/>
          <w:szCs w:val="32"/>
        </w:rPr>
      </w:pPr>
      <w:r>
        <w:rPr>
          <w:rFonts w:eastAsia="仿宋_GB2312"/>
          <w:sz w:val="32"/>
          <w:szCs w:val="32"/>
        </w:rPr>
        <w:t>8.机关运行经费：机关运行经费指为保障行政单位（包括参照公务员法管理的事业单位）运行，用于购买货物和服务的各项资金。包括办公及印刷费、邮电费、差旅费、会议费、福利费、日常维修费、专用材料费及一般设备购置费、办公用房水电费、公务用车运行维护费及其他费用。</w:t>
      </w: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ind w:firstLine="640" w:firstLineChars="200"/>
        <w:rPr>
          <w:rFonts w:eastAsia="仿宋_GB2312"/>
          <w:sz w:val="32"/>
          <w:szCs w:val="32"/>
        </w:rPr>
      </w:pPr>
    </w:p>
    <w:p>
      <w:pPr>
        <w:tabs>
          <w:tab w:val="left" w:pos="7560"/>
        </w:tabs>
        <w:adjustRightInd w:val="0"/>
        <w:snapToGrid w:val="0"/>
        <w:spacing w:line="560" w:lineRule="exact"/>
        <w:rPr>
          <w:rFonts w:eastAsia="仿宋_GB2312"/>
          <w:sz w:val="32"/>
          <w:szCs w:val="32"/>
        </w:rPr>
      </w:pPr>
    </w:p>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31867"/>
    <w:multiLevelType w:val="singleLevel"/>
    <w:tmpl w:val="80731867"/>
    <w:lvl w:ilvl="0" w:tentative="0">
      <w:start w:val="7"/>
      <w:numFmt w:val="chineseCounting"/>
      <w:suff w:val="nothing"/>
      <w:lvlText w:val="（%1）"/>
      <w:lvlJc w:val="left"/>
      <w:rPr>
        <w:rFonts w:hint="eastAsia"/>
      </w:rPr>
    </w:lvl>
  </w:abstractNum>
  <w:abstractNum w:abstractNumId="1">
    <w:nsid w:val="24F9E6C2"/>
    <w:multiLevelType w:val="singleLevel"/>
    <w:tmpl w:val="24F9E6C2"/>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7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YzZkNzQ4ZWFiZmQ4NTRhOWRkZTk3YTMwMjlmMmZhYmUifQ=="/>
  </w:docVars>
  <w:rsids>
    <w:rsidRoot w:val="00D84058"/>
    <w:rsid w:val="000811D1"/>
    <w:rsid w:val="00323B43"/>
    <w:rsid w:val="003D37D8"/>
    <w:rsid w:val="004358AB"/>
    <w:rsid w:val="005553BA"/>
    <w:rsid w:val="006464CA"/>
    <w:rsid w:val="0065487E"/>
    <w:rsid w:val="006D34DF"/>
    <w:rsid w:val="0077734D"/>
    <w:rsid w:val="008B7726"/>
    <w:rsid w:val="00A53D5A"/>
    <w:rsid w:val="00A626A4"/>
    <w:rsid w:val="00A72D5E"/>
    <w:rsid w:val="00B221AD"/>
    <w:rsid w:val="00CB1E75"/>
    <w:rsid w:val="00D84058"/>
    <w:rsid w:val="00E315E9"/>
    <w:rsid w:val="02207F9F"/>
    <w:rsid w:val="02F11948"/>
    <w:rsid w:val="09777049"/>
    <w:rsid w:val="0B8D0AF2"/>
    <w:rsid w:val="0BD45774"/>
    <w:rsid w:val="0E3209E0"/>
    <w:rsid w:val="0F534232"/>
    <w:rsid w:val="10372678"/>
    <w:rsid w:val="109F2749"/>
    <w:rsid w:val="14AD2E75"/>
    <w:rsid w:val="14F418A6"/>
    <w:rsid w:val="1766111D"/>
    <w:rsid w:val="211C6E10"/>
    <w:rsid w:val="22A4256A"/>
    <w:rsid w:val="2A4F49F8"/>
    <w:rsid w:val="30485A79"/>
    <w:rsid w:val="321A6554"/>
    <w:rsid w:val="34D17313"/>
    <w:rsid w:val="366A1088"/>
    <w:rsid w:val="37B90E8A"/>
    <w:rsid w:val="3CB936FF"/>
    <w:rsid w:val="3CCE1216"/>
    <w:rsid w:val="400F432F"/>
    <w:rsid w:val="4A5D57A5"/>
    <w:rsid w:val="4AE448CF"/>
    <w:rsid w:val="4E5140B3"/>
    <w:rsid w:val="50B57FC2"/>
    <w:rsid w:val="53685303"/>
    <w:rsid w:val="56F253DD"/>
    <w:rsid w:val="5C100F68"/>
    <w:rsid w:val="5C250A91"/>
    <w:rsid w:val="648F7A2F"/>
    <w:rsid w:val="65E83403"/>
    <w:rsid w:val="6BBF77E6"/>
    <w:rsid w:val="6F5B4152"/>
    <w:rsid w:val="75765497"/>
    <w:rsid w:val="76F26889"/>
    <w:rsid w:val="7E565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kern w:val="2"/>
      <w:sz w:val="18"/>
      <w:szCs w:val="18"/>
    </w:rPr>
  </w:style>
  <w:style w:type="character" w:customStyle="1" w:styleId="7">
    <w:name w:val="页脚 Char"/>
    <w:basedOn w:val="5"/>
    <w:link w:val="2"/>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642AF-A4D8-49FD-9913-2507E163678F}">
  <ds:schemaRefs/>
</ds:datastoreItem>
</file>

<file path=docProps/app.xml><?xml version="1.0" encoding="utf-8"?>
<Properties xmlns="http://schemas.openxmlformats.org/officeDocument/2006/extended-properties" xmlns:vt="http://schemas.openxmlformats.org/officeDocument/2006/docPropsVTypes">
  <Template>Normal</Template>
  <Pages>9</Pages>
  <Words>2846</Words>
  <Characters>2990</Characters>
  <Lines>2</Lines>
  <Paragraphs>6</Paragraphs>
  <TotalTime>3</TotalTime>
  <ScaleCrop>false</ScaleCrop>
  <LinksUpToDate>false</LinksUpToDate>
  <CharactersWithSpaces>3003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2021-03-02T01:01:00Z</dcterms:created>
  <dc:creator>null,null,总收发</dc:creator>
  <cp:lastModifiedBy>Cherie</cp:lastModifiedBy>
  <dcterms:modified xsi:type="dcterms:W3CDTF">2022-09-12T07:25:49Z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FC79570F14A24D03B82053D06586D7C0</vt:lpwstr>
  </property>
</Properties>
</file>