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7560"/>
        </w:tabs>
        <w:adjustRightInd w:val="0"/>
        <w:snapToGrid w:val="0"/>
        <w:spacing w:line="560" w:lineRule="exact"/>
        <w:jc w:val="left"/>
        <w:rPr>
          <w:rFonts w:eastAsia="仿宋_GB2312"/>
          <w:bCs/>
          <w:sz w:val="32"/>
          <w:szCs w:val="32"/>
        </w:rPr>
      </w:pPr>
    </w:p>
    <w:p>
      <w:pPr>
        <w:tabs>
          <w:tab w:val="left" w:pos="7560"/>
        </w:tabs>
        <w:adjustRightInd w:val="0"/>
        <w:snapToGrid w:val="0"/>
        <w:spacing w:line="560" w:lineRule="exact"/>
        <w:jc w:val="center"/>
        <w:rPr>
          <w:rFonts w:eastAsia="方正小标宋简体"/>
          <w:bCs/>
          <w:color w:val="000000"/>
          <w:sz w:val="44"/>
          <w:szCs w:val="44"/>
        </w:rPr>
      </w:pPr>
      <w:r>
        <w:rPr>
          <w:rFonts w:hint="eastAsia" w:eastAsia="方正小标宋简体"/>
          <w:bCs/>
          <w:color w:val="000000"/>
          <w:sz w:val="44"/>
          <w:szCs w:val="44"/>
        </w:rPr>
        <w:t>醴陵市工商业联合会</w:t>
      </w:r>
    </w:p>
    <w:p>
      <w:pPr>
        <w:tabs>
          <w:tab w:val="left" w:pos="7560"/>
        </w:tabs>
        <w:adjustRightInd w:val="0"/>
        <w:snapToGrid w:val="0"/>
        <w:spacing w:line="560" w:lineRule="exact"/>
        <w:jc w:val="center"/>
        <w:rPr>
          <w:rFonts w:eastAsia="方正小标宋简体"/>
          <w:bCs/>
          <w:color w:val="000000"/>
          <w:sz w:val="44"/>
          <w:szCs w:val="44"/>
        </w:rPr>
      </w:pPr>
      <w:r>
        <w:rPr>
          <w:rFonts w:eastAsia="方正小标宋简体"/>
          <w:bCs/>
          <w:color w:val="000000"/>
          <w:sz w:val="44"/>
          <w:szCs w:val="44"/>
        </w:rPr>
        <w:t>2021年部门预算公开说明</w:t>
      </w:r>
    </w:p>
    <w:p>
      <w:pPr>
        <w:tabs>
          <w:tab w:val="left" w:pos="7560"/>
        </w:tabs>
        <w:adjustRightInd w:val="0"/>
        <w:snapToGrid w:val="0"/>
        <w:spacing w:line="560" w:lineRule="exact"/>
        <w:jc w:val="left"/>
        <w:rPr>
          <w:rFonts w:eastAsia="仿宋_GB2312"/>
          <w:bCs/>
          <w:sz w:val="32"/>
          <w:szCs w:val="32"/>
        </w:rPr>
      </w:pPr>
    </w:p>
    <w:p>
      <w:pPr>
        <w:tabs>
          <w:tab w:val="left" w:pos="7560"/>
        </w:tabs>
        <w:adjustRightInd w:val="0"/>
        <w:snapToGrid w:val="0"/>
        <w:spacing w:line="560" w:lineRule="exact"/>
        <w:ind w:firstLine="640" w:firstLineChars="200"/>
        <w:jc w:val="center"/>
        <w:rPr>
          <w:rFonts w:eastAsia="黑体"/>
          <w:bCs/>
          <w:sz w:val="32"/>
          <w:szCs w:val="32"/>
        </w:rPr>
      </w:pPr>
      <w:r>
        <w:rPr>
          <w:rFonts w:hAnsi="黑体" w:eastAsia="黑体"/>
          <w:bCs/>
          <w:sz w:val="32"/>
          <w:szCs w:val="32"/>
        </w:rPr>
        <w:t>部门预算公开信息目录</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一、部门职能职责</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二、机构设置</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三、部门收支概况</w:t>
      </w:r>
    </w:p>
    <w:p>
      <w:pPr>
        <w:tabs>
          <w:tab w:val="left" w:pos="7560"/>
        </w:tabs>
        <w:adjustRightInd w:val="0"/>
        <w:snapToGrid w:val="0"/>
        <w:spacing w:line="560" w:lineRule="exact"/>
        <w:ind w:firstLine="640" w:firstLineChars="200"/>
        <w:jc w:val="left"/>
        <w:rPr>
          <w:rFonts w:eastAsia="仿宋_GB2312"/>
          <w:sz w:val="32"/>
          <w:szCs w:val="32"/>
        </w:rPr>
      </w:pPr>
      <w:r>
        <w:rPr>
          <w:rFonts w:eastAsia="仿宋_GB2312"/>
          <w:sz w:val="32"/>
          <w:szCs w:val="32"/>
        </w:rPr>
        <w:t>（一）收入预算</w:t>
      </w:r>
    </w:p>
    <w:p>
      <w:pPr>
        <w:tabs>
          <w:tab w:val="left" w:pos="7560"/>
        </w:tabs>
        <w:adjustRightInd w:val="0"/>
        <w:snapToGrid w:val="0"/>
        <w:spacing w:line="560" w:lineRule="exact"/>
        <w:ind w:firstLine="640" w:firstLineChars="200"/>
        <w:jc w:val="left"/>
        <w:rPr>
          <w:rFonts w:eastAsia="仿宋_GB2312"/>
          <w:sz w:val="32"/>
          <w:szCs w:val="32"/>
        </w:rPr>
      </w:pPr>
      <w:r>
        <w:rPr>
          <w:rFonts w:eastAsia="仿宋_GB2312"/>
          <w:sz w:val="32"/>
          <w:szCs w:val="32"/>
        </w:rPr>
        <w:t>（</w:t>
      </w:r>
      <w:r>
        <w:rPr>
          <w:rFonts w:hAnsi="仿宋_GB2312" w:eastAsia="仿宋_GB2312"/>
          <w:sz w:val="32"/>
          <w:szCs w:val="32"/>
        </w:rPr>
        <w:t>二）支出预算</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（三）预算收支增减变化情况说明</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四、其他重要事项情况说明</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（一）机关运行经费</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（二）政府采购预算</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（三）国有资产占有情况</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（四）预算绩效目标</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（五）</w:t>
      </w:r>
      <w:r>
        <w:rPr>
          <w:rFonts w:eastAsia="仿宋_GB2312"/>
          <w:sz w:val="32"/>
          <w:szCs w:val="32"/>
        </w:rPr>
        <w:t>“</w:t>
      </w:r>
      <w:r>
        <w:rPr>
          <w:rFonts w:hAnsi="仿宋_GB2312" w:eastAsia="仿宋_GB2312"/>
          <w:sz w:val="32"/>
          <w:szCs w:val="32"/>
        </w:rPr>
        <w:t>三公</w:t>
      </w:r>
      <w:r>
        <w:rPr>
          <w:rFonts w:eastAsia="仿宋_GB2312"/>
          <w:sz w:val="32"/>
          <w:szCs w:val="32"/>
        </w:rPr>
        <w:t>”</w:t>
      </w:r>
      <w:r>
        <w:rPr>
          <w:rFonts w:hAnsi="仿宋_GB2312" w:eastAsia="仿宋_GB2312"/>
          <w:sz w:val="32"/>
          <w:szCs w:val="32"/>
        </w:rPr>
        <w:t>经费预算</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（六）会议费、培训费</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（七）其他事项</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五、名词解释</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六、部门预算公开表格</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（一）部门收支总表</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（二）部门收入总表</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（三）部门支出总表</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（四）部门支出总表（分类）</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（五）部门支出分类</w:t>
      </w:r>
      <w:r>
        <w:rPr>
          <w:rFonts w:eastAsia="仿宋_GB2312"/>
          <w:sz w:val="32"/>
          <w:szCs w:val="32"/>
        </w:rPr>
        <w:t>(</w:t>
      </w:r>
      <w:r>
        <w:rPr>
          <w:rFonts w:hAnsi="仿宋_GB2312" w:eastAsia="仿宋_GB2312"/>
          <w:sz w:val="32"/>
          <w:szCs w:val="32"/>
        </w:rPr>
        <w:t>政府预算</w:t>
      </w:r>
      <w:r>
        <w:rPr>
          <w:rFonts w:eastAsia="仿宋_GB2312"/>
          <w:sz w:val="32"/>
          <w:szCs w:val="32"/>
        </w:rPr>
        <w:t>)</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（六）基本</w:t>
      </w:r>
      <w:r>
        <w:rPr>
          <w:rFonts w:eastAsia="仿宋_GB2312"/>
          <w:sz w:val="32"/>
          <w:szCs w:val="32"/>
        </w:rPr>
        <w:t>-</w:t>
      </w:r>
      <w:r>
        <w:rPr>
          <w:rFonts w:hAnsi="仿宋_GB2312" w:eastAsia="仿宋_GB2312"/>
          <w:sz w:val="32"/>
          <w:szCs w:val="32"/>
        </w:rPr>
        <w:t>工资福利</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（七）工资福利</w:t>
      </w:r>
      <w:r>
        <w:rPr>
          <w:rFonts w:eastAsia="仿宋_GB2312"/>
          <w:sz w:val="32"/>
          <w:szCs w:val="32"/>
        </w:rPr>
        <w:t>(</w:t>
      </w:r>
      <w:r>
        <w:rPr>
          <w:rFonts w:hAnsi="仿宋_GB2312" w:eastAsia="仿宋_GB2312"/>
          <w:sz w:val="32"/>
          <w:szCs w:val="32"/>
        </w:rPr>
        <w:t>政府预算</w:t>
      </w:r>
      <w:r>
        <w:rPr>
          <w:rFonts w:eastAsia="仿宋_GB2312"/>
          <w:sz w:val="32"/>
          <w:szCs w:val="32"/>
        </w:rPr>
        <w:t>)</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（八）基本</w:t>
      </w:r>
      <w:r>
        <w:rPr>
          <w:rFonts w:eastAsia="仿宋_GB2312"/>
          <w:sz w:val="32"/>
          <w:szCs w:val="32"/>
        </w:rPr>
        <w:t>-</w:t>
      </w:r>
      <w:r>
        <w:rPr>
          <w:rFonts w:hAnsi="仿宋_GB2312" w:eastAsia="仿宋_GB2312"/>
          <w:sz w:val="32"/>
          <w:szCs w:val="32"/>
        </w:rPr>
        <w:t>一般商品服务</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（九）商品服务</w:t>
      </w:r>
      <w:r>
        <w:rPr>
          <w:rFonts w:eastAsia="仿宋_GB2312"/>
          <w:sz w:val="32"/>
          <w:szCs w:val="32"/>
        </w:rPr>
        <w:t>(</w:t>
      </w:r>
      <w:r>
        <w:rPr>
          <w:rFonts w:hAnsi="仿宋_GB2312" w:eastAsia="仿宋_GB2312"/>
          <w:sz w:val="32"/>
          <w:szCs w:val="32"/>
        </w:rPr>
        <w:t>政府预算</w:t>
      </w:r>
      <w:r>
        <w:rPr>
          <w:rFonts w:eastAsia="仿宋_GB2312"/>
          <w:sz w:val="32"/>
          <w:szCs w:val="32"/>
        </w:rPr>
        <w:t>)</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（十）基本</w:t>
      </w:r>
      <w:r>
        <w:rPr>
          <w:rFonts w:eastAsia="仿宋_GB2312"/>
          <w:sz w:val="32"/>
          <w:szCs w:val="32"/>
        </w:rPr>
        <w:t>-</w:t>
      </w:r>
      <w:r>
        <w:rPr>
          <w:rFonts w:hAnsi="仿宋_GB2312" w:eastAsia="仿宋_GB2312"/>
          <w:sz w:val="32"/>
          <w:szCs w:val="32"/>
        </w:rPr>
        <w:t>个人和家庭</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（十一）个人家庭</w:t>
      </w:r>
      <w:r>
        <w:rPr>
          <w:rFonts w:eastAsia="仿宋_GB2312"/>
          <w:sz w:val="32"/>
          <w:szCs w:val="32"/>
        </w:rPr>
        <w:t>(</w:t>
      </w:r>
      <w:r>
        <w:rPr>
          <w:rFonts w:hAnsi="仿宋_GB2312" w:eastAsia="仿宋_GB2312"/>
          <w:sz w:val="32"/>
          <w:szCs w:val="32"/>
        </w:rPr>
        <w:t>政府预算</w:t>
      </w:r>
      <w:r>
        <w:rPr>
          <w:rFonts w:eastAsia="仿宋_GB2312"/>
          <w:sz w:val="32"/>
          <w:szCs w:val="32"/>
        </w:rPr>
        <w:t>)</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（十二）财政拨款收支总表</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（十三）一般公共预算支出表</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（十四）一般预算基本支出表</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（十五）一般</w:t>
      </w:r>
      <w:r>
        <w:rPr>
          <w:rFonts w:eastAsia="仿宋_GB2312"/>
          <w:sz w:val="32"/>
          <w:szCs w:val="32"/>
        </w:rPr>
        <w:t>-</w:t>
      </w:r>
      <w:r>
        <w:rPr>
          <w:rFonts w:hAnsi="仿宋_GB2312" w:eastAsia="仿宋_GB2312"/>
          <w:sz w:val="32"/>
          <w:szCs w:val="32"/>
        </w:rPr>
        <w:t>工资福利</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（十六）工资福利</w:t>
      </w:r>
      <w:r>
        <w:rPr>
          <w:rFonts w:eastAsia="仿宋_GB2312"/>
          <w:sz w:val="32"/>
          <w:szCs w:val="32"/>
        </w:rPr>
        <w:t>(</w:t>
      </w:r>
      <w:r>
        <w:rPr>
          <w:rFonts w:hAnsi="仿宋_GB2312" w:eastAsia="仿宋_GB2312"/>
          <w:sz w:val="32"/>
          <w:szCs w:val="32"/>
        </w:rPr>
        <w:t>政府预算</w:t>
      </w:r>
      <w:r>
        <w:rPr>
          <w:rFonts w:eastAsia="仿宋_GB2312"/>
          <w:sz w:val="32"/>
          <w:szCs w:val="32"/>
        </w:rPr>
        <w:t xml:space="preserve">) </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（十七）一般</w:t>
      </w:r>
      <w:r>
        <w:rPr>
          <w:rFonts w:eastAsia="仿宋_GB2312"/>
          <w:sz w:val="32"/>
          <w:szCs w:val="32"/>
        </w:rPr>
        <w:t>-</w:t>
      </w:r>
      <w:r>
        <w:rPr>
          <w:rFonts w:hAnsi="仿宋_GB2312" w:eastAsia="仿宋_GB2312"/>
          <w:sz w:val="32"/>
          <w:szCs w:val="32"/>
        </w:rPr>
        <w:t>一般商品服务</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（十八）商品服务</w:t>
      </w:r>
      <w:r>
        <w:rPr>
          <w:rFonts w:eastAsia="仿宋_GB2312"/>
          <w:sz w:val="32"/>
          <w:szCs w:val="32"/>
        </w:rPr>
        <w:t>(</w:t>
      </w:r>
      <w:r>
        <w:rPr>
          <w:rFonts w:hAnsi="仿宋_GB2312" w:eastAsia="仿宋_GB2312"/>
          <w:sz w:val="32"/>
          <w:szCs w:val="32"/>
        </w:rPr>
        <w:t>政府预算</w:t>
      </w:r>
      <w:r>
        <w:rPr>
          <w:rFonts w:eastAsia="仿宋_GB2312"/>
          <w:sz w:val="32"/>
          <w:szCs w:val="32"/>
        </w:rPr>
        <w:t xml:space="preserve">) </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（十九）一般</w:t>
      </w:r>
      <w:r>
        <w:rPr>
          <w:rFonts w:eastAsia="仿宋_GB2312"/>
          <w:sz w:val="32"/>
          <w:szCs w:val="32"/>
        </w:rPr>
        <w:t>-</w:t>
      </w:r>
      <w:r>
        <w:rPr>
          <w:rFonts w:hAnsi="仿宋_GB2312" w:eastAsia="仿宋_GB2312"/>
          <w:sz w:val="32"/>
          <w:szCs w:val="32"/>
        </w:rPr>
        <w:t>个人和家庭</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（二十）个人家庭</w:t>
      </w:r>
      <w:r>
        <w:rPr>
          <w:rFonts w:eastAsia="仿宋_GB2312"/>
          <w:sz w:val="32"/>
          <w:szCs w:val="32"/>
        </w:rPr>
        <w:t>(</w:t>
      </w:r>
      <w:r>
        <w:rPr>
          <w:rFonts w:hAnsi="仿宋_GB2312" w:eastAsia="仿宋_GB2312"/>
          <w:sz w:val="32"/>
          <w:szCs w:val="32"/>
        </w:rPr>
        <w:t>政府预算</w:t>
      </w:r>
      <w:r>
        <w:rPr>
          <w:rFonts w:eastAsia="仿宋_GB2312"/>
          <w:sz w:val="32"/>
          <w:szCs w:val="32"/>
        </w:rPr>
        <w:t xml:space="preserve">) </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（二十一）政府性基金</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（二十二）政府性基金</w:t>
      </w:r>
      <w:r>
        <w:rPr>
          <w:rFonts w:eastAsia="仿宋_GB2312"/>
          <w:sz w:val="32"/>
          <w:szCs w:val="32"/>
        </w:rPr>
        <w:t>(</w:t>
      </w:r>
      <w:r>
        <w:rPr>
          <w:rFonts w:hAnsi="仿宋_GB2312" w:eastAsia="仿宋_GB2312"/>
          <w:sz w:val="32"/>
          <w:szCs w:val="32"/>
        </w:rPr>
        <w:t>政府预算</w:t>
      </w:r>
      <w:r>
        <w:rPr>
          <w:rFonts w:eastAsia="仿宋_GB2312"/>
          <w:sz w:val="32"/>
          <w:szCs w:val="32"/>
        </w:rPr>
        <w:t xml:space="preserve">) </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（二十三）专户</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（二十四）专户</w:t>
      </w:r>
      <w:r>
        <w:rPr>
          <w:rFonts w:eastAsia="仿宋_GB2312"/>
          <w:sz w:val="32"/>
          <w:szCs w:val="32"/>
        </w:rPr>
        <w:t>(</w:t>
      </w:r>
      <w:r>
        <w:rPr>
          <w:rFonts w:hAnsi="仿宋_GB2312" w:eastAsia="仿宋_GB2312"/>
          <w:sz w:val="32"/>
          <w:szCs w:val="32"/>
        </w:rPr>
        <w:t>政府预算</w:t>
      </w:r>
      <w:r>
        <w:rPr>
          <w:rFonts w:eastAsia="仿宋_GB2312"/>
          <w:sz w:val="32"/>
          <w:szCs w:val="32"/>
        </w:rPr>
        <w:t>)</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（二十五）经费拨款预算表</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（二十六）经费拨款预算表</w:t>
      </w:r>
      <w:r>
        <w:rPr>
          <w:rFonts w:eastAsia="仿宋_GB2312"/>
          <w:sz w:val="32"/>
          <w:szCs w:val="32"/>
        </w:rPr>
        <w:t>(</w:t>
      </w:r>
      <w:r>
        <w:rPr>
          <w:rFonts w:hAnsi="仿宋_GB2312" w:eastAsia="仿宋_GB2312"/>
          <w:sz w:val="32"/>
          <w:szCs w:val="32"/>
        </w:rPr>
        <w:t>政府预算</w:t>
      </w:r>
      <w:r>
        <w:rPr>
          <w:rFonts w:eastAsia="仿宋_GB2312"/>
          <w:sz w:val="32"/>
          <w:szCs w:val="32"/>
        </w:rPr>
        <w:t>)</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（二十七）专项支出预算表</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（二十八）一般公共预算</w:t>
      </w:r>
      <w:r>
        <w:rPr>
          <w:rFonts w:eastAsia="仿宋_GB2312"/>
          <w:sz w:val="32"/>
          <w:szCs w:val="32"/>
        </w:rPr>
        <w:t>“</w:t>
      </w:r>
      <w:r>
        <w:rPr>
          <w:rFonts w:hAnsi="仿宋_GB2312" w:eastAsia="仿宋_GB2312"/>
          <w:sz w:val="32"/>
          <w:szCs w:val="32"/>
        </w:rPr>
        <w:t>三公</w:t>
      </w:r>
      <w:r>
        <w:rPr>
          <w:rFonts w:eastAsia="仿宋_GB2312"/>
          <w:sz w:val="32"/>
          <w:szCs w:val="32"/>
        </w:rPr>
        <w:t>”</w:t>
      </w:r>
      <w:r>
        <w:rPr>
          <w:rFonts w:hAnsi="仿宋_GB2312" w:eastAsia="仿宋_GB2312"/>
          <w:sz w:val="32"/>
          <w:szCs w:val="32"/>
        </w:rPr>
        <w:t>经费预算表</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（二十九）部门整体支出绩效目标表</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（三十）单位专项支出方向绩效目标表</w:t>
      </w:r>
    </w:p>
    <w:p>
      <w:pPr>
        <w:tabs>
          <w:tab w:val="left" w:pos="7560"/>
        </w:tabs>
        <w:adjustRightInd w:val="0"/>
        <w:snapToGrid w:val="0"/>
        <w:spacing w:line="560" w:lineRule="exact"/>
        <w:ind w:firstLine="640" w:firstLineChars="200"/>
        <w:jc w:val="left"/>
        <w:rPr>
          <w:rFonts w:eastAsia="仿宋_GB2312"/>
          <w:sz w:val="32"/>
          <w:szCs w:val="32"/>
        </w:rPr>
      </w:pPr>
    </w:p>
    <w:p>
      <w:pPr>
        <w:tabs>
          <w:tab w:val="left" w:pos="7560"/>
        </w:tabs>
        <w:adjustRightInd w:val="0"/>
        <w:snapToGrid w:val="0"/>
        <w:spacing w:line="560" w:lineRule="exact"/>
        <w:ind w:firstLine="640" w:firstLineChars="200"/>
        <w:jc w:val="left"/>
        <w:rPr>
          <w:rFonts w:eastAsia="仿宋_GB2312"/>
          <w:sz w:val="32"/>
          <w:szCs w:val="32"/>
        </w:rPr>
      </w:pPr>
    </w:p>
    <w:p>
      <w:pPr>
        <w:tabs>
          <w:tab w:val="left" w:pos="7560"/>
        </w:tabs>
        <w:adjustRightInd w:val="0"/>
        <w:snapToGrid w:val="0"/>
        <w:spacing w:line="560" w:lineRule="exact"/>
        <w:ind w:firstLine="640" w:firstLineChars="200"/>
        <w:jc w:val="left"/>
        <w:rPr>
          <w:rFonts w:eastAsia="仿宋_GB2312"/>
          <w:sz w:val="32"/>
          <w:szCs w:val="32"/>
        </w:rPr>
      </w:pPr>
    </w:p>
    <w:p>
      <w:pPr>
        <w:tabs>
          <w:tab w:val="left" w:pos="7560"/>
        </w:tabs>
        <w:adjustRightInd w:val="0"/>
        <w:snapToGrid w:val="0"/>
        <w:spacing w:line="560" w:lineRule="exact"/>
        <w:ind w:firstLine="640" w:firstLineChars="200"/>
        <w:jc w:val="left"/>
        <w:rPr>
          <w:rFonts w:eastAsia="仿宋_GB2312"/>
          <w:sz w:val="32"/>
          <w:szCs w:val="32"/>
        </w:rPr>
      </w:pPr>
    </w:p>
    <w:p>
      <w:pPr>
        <w:tabs>
          <w:tab w:val="left" w:pos="7560"/>
        </w:tabs>
        <w:adjustRightInd w:val="0"/>
        <w:snapToGrid w:val="0"/>
        <w:spacing w:line="560" w:lineRule="exact"/>
        <w:ind w:firstLine="640" w:firstLineChars="200"/>
        <w:jc w:val="left"/>
        <w:rPr>
          <w:rFonts w:eastAsia="仿宋_GB2312"/>
          <w:sz w:val="32"/>
          <w:szCs w:val="32"/>
        </w:rPr>
      </w:pPr>
    </w:p>
    <w:p>
      <w:pPr>
        <w:tabs>
          <w:tab w:val="left" w:pos="7560"/>
        </w:tabs>
        <w:adjustRightInd w:val="0"/>
        <w:snapToGrid w:val="0"/>
        <w:spacing w:line="560" w:lineRule="exact"/>
        <w:ind w:firstLine="640" w:firstLineChars="200"/>
        <w:jc w:val="left"/>
        <w:rPr>
          <w:rFonts w:eastAsia="仿宋_GB2312"/>
          <w:sz w:val="32"/>
          <w:szCs w:val="32"/>
        </w:rPr>
      </w:pPr>
    </w:p>
    <w:p>
      <w:pPr>
        <w:tabs>
          <w:tab w:val="left" w:pos="7560"/>
        </w:tabs>
        <w:adjustRightInd w:val="0"/>
        <w:snapToGrid w:val="0"/>
        <w:spacing w:line="560" w:lineRule="exact"/>
        <w:ind w:firstLine="640" w:firstLineChars="200"/>
        <w:jc w:val="left"/>
        <w:rPr>
          <w:rFonts w:eastAsia="仿宋_GB2312"/>
          <w:sz w:val="32"/>
          <w:szCs w:val="32"/>
        </w:rPr>
      </w:pPr>
    </w:p>
    <w:p>
      <w:pPr>
        <w:tabs>
          <w:tab w:val="left" w:pos="7560"/>
        </w:tabs>
        <w:adjustRightInd w:val="0"/>
        <w:snapToGrid w:val="0"/>
        <w:spacing w:line="560" w:lineRule="exact"/>
        <w:ind w:firstLine="640" w:firstLineChars="200"/>
        <w:jc w:val="left"/>
        <w:rPr>
          <w:rFonts w:eastAsia="仿宋_GB2312"/>
          <w:sz w:val="32"/>
          <w:szCs w:val="32"/>
        </w:rPr>
      </w:pPr>
    </w:p>
    <w:p>
      <w:pPr>
        <w:tabs>
          <w:tab w:val="left" w:pos="7560"/>
        </w:tabs>
        <w:adjustRightInd w:val="0"/>
        <w:snapToGrid w:val="0"/>
        <w:spacing w:line="560" w:lineRule="exact"/>
        <w:ind w:firstLine="640" w:firstLineChars="200"/>
        <w:jc w:val="left"/>
        <w:rPr>
          <w:rFonts w:eastAsia="仿宋_GB2312"/>
          <w:sz w:val="32"/>
          <w:szCs w:val="32"/>
        </w:rPr>
      </w:pPr>
    </w:p>
    <w:p>
      <w:pPr>
        <w:tabs>
          <w:tab w:val="left" w:pos="7560"/>
        </w:tabs>
        <w:adjustRightInd w:val="0"/>
        <w:snapToGrid w:val="0"/>
        <w:spacing w:line="560" w:lineRule="exact"/>
        <w:ind w:firstLine="640" w:firstLineChars="200"/>
        <w:jc w:val="left"/>
        <w:rPr>
          <w:rFonts w:eastAsia="仿宋_GB2312"/>
          <w:sz w:val="32"/>
          <w:szCs w:val="32"/>
        </w:rPr>
      </w:pPr>
    </w:p>
    <w:p>
      <w:pPr>
        <w:tabs>
          <w:tab w:val="left" w:pos="7560"/>
        </w:tabs>
        <w:adjustRightInd w:val="0"/>
        <w:snapToGrid w:val="0"/>
        <w:spacing w:line="560" w:lineRule="exact"/>
        <w:ind w:firstLine="640" w:firstLineChars="200"/>
        <w:jc w:val="left"/>
        <w:rPr>
          <w:rFonts w:eastAsia="仿宋_GB2312"/>
          <w:sz w:val="32"/>
          <w:szCs w:val="32"/>
        </w:rPr>
      </w:pPr>
    </w:p>
    <w:p>
      <w:pPr>
        <w:tabs>
          <w:tab w:val="left" w:pos="7560"/>
        </w:tabs>
        <w:adjustRightInd w:val="0"/>
        <w:snapToGrid w:val="0"/>
        <w:spacing w:line="560" w:lineRule="exact"/>
        <w:ind w:firstLine="640" w:firstLineChars="200"/>
        <w:jc w:val="left"/>
        <w:rPr>
          <w:rFonts w:eastAsia="仿宋_GB2312"/>
          <w:sz w:val="32"/>
          <w:szCs w:val="32"/>
        </w:rPr>
      </w:pPr>
    </w:p>
    <w:p>
      <w:pPr>
        <w:tabs>
          <w:tab w:val="left" w:pos="7560"/>
        </w:tabs>
        <w:adjustRightInd w:val="0"/>
        <w:snapToGrid w:val="0"/>
        <w:spacing w:line="560" w:lineRule="exact"/>
        <w:ind w:firstLine="640" w:firstLineChars="200"/>
        <w:jc w:val="left"/>
        <w:rPr>
          <w:rFonts w:eastAsia="仿宋_GB2312"/>
          <w:sz w:val="32"/>
          <w:szCs w:val="32"/>
        </w:rPr>
      </w:pPr>
    </w:p>
    <w:p>
      <w:pPr>
        <w:tabs>
          <w:tab w:val="left" w:pos="7560"/>
        </w:tabs>
        <w:adjustRightInd w:val="0"/>
        <w:snapToGrid w:val="0"/>
        <w:spacing w:line="560" w:lineRule="exact"/>
        <w:ind w:firstLine="640" w:firstLineChars="200"/>
        <w:jc w:val="left"/>
        <w:rPr>
          <w:rFonts w:eastAsia="仿宋_GB2312"/>
          <w:sz w:val="32"/>
          <w:szCs w:val="32"/>
        </w:rPr>
      </w:pPr>
    </w:p>
    <w:p>
      <w:pPr>
        <w:tabs>
          <w:tab w:val="left" w:pos="7560"/>
        </w:tabs>
        <w:adjustRightInd w:val="0"/>
        <w:snapToGrid w:val="0"/>
        <w:spacing w:line="560" w:lineRule="exact"/>
        <w:ind w:firstLine="640" w:firstLineChars="200"/>
        <w:jc w:val="left"/>
        <w:rPr>
          <w:rFonts w:eastAsia="仿宋_GB2312"/>
          <w:sz w:val="32"/>
          <w:szCs w:val="32"/>
        </w:rPr>
      </w:pPr>
    </w:p>
    <w:p>
      <w:pPr>
        <w:tabs>
          <w:tab w:val="left" w:pos="7560"/>
        </w:tabs>
        <w:adjustRightInd w:val="0"/>
        <w:snapToGrid w:val="0"/>
        <w:spacing w:line="560" w:lineRule="exact"/>
        <w:ind w:firstLine="640" w:firstLineChars="200"/>
        <w:jc w:val="left"/>
        <w:rPr>
          <w:rFonts w:eastAsia="仿宋_GB2312"/>
          <w:sz w:val="32"/>
          <w:szCs w:val="32"/>
        </w:rPr>
      </w:pPr>
    </w:p>
    <w:p>
      <w:pPr>
        <w:tabs>
          <w:tab w:val="left" w:pos="7560"/>
        </w:tabs>
        <w:adjustRightInd w:val="0"/>
        <w:snapToGrid w:val="0"/>
        <w:spacing w:line="560" w:lineRule="exact"/>
        <w:ind w:firstLine="640" w:firstLineChars="200"/>
        <w:jc w:val="left"/>
        <w:rPr>
          <w:rFonts w:eastAsia="仿宋_GB2312"/>
          <w:sz w:val="32"/>
          <w:szCs w:val="32"/>
        </w:rPr>
      </w:pPr>
    </w:p>
    <w:p>
      <w:pPr>
        <w:tabs>
          <w:tab w:val="left" w:pos="7560"/>
        </w:tabs>
        <w:adjustRightInd w:val="0"/>
        <w:snapToGrid w:val="0"/>
        <w:spacing w:line="560" w:lineRule="exact"/>
        <w:ind w:firstLine="640" w:firstLineChars="200"/>
        <w:jc w:val="left"/>
        <w:rPr>
          <w:rFonts w:eastAsia="仿宋_GB2312"/>
          <w:sz w:val="32"/>
          <w:szCs w:val="32"/>
        </w:rPr>
      </w:pPr>
    </w:p>
    <w:p>
      <w:pPr>
        <w:tabs>
          <w:tab w:val="left" w:pos="7560"/>
        </w:tabs>
        <w:adjustRightInd w:val="0"/>
        <w:snapToGrid w:val="0"/>
        <w:spacing w:line="560" w:lineRule="exact"/>
        <w:ind w:firstLine="640" w:firstLineChars="200"/>
        <w:jc w:val="left"/>
        <w:rPr>
          <w:rFonts w:eastAsia="仿宋_GB2312"/>
          <w:sz w:val="32"/>
          <w:szCs w:val="32"/>
        </w:rPr>
      </w:pPr>
    </w:p>
    <w:p>
      <w:pPr>
        <w:tabs>
          <w:tab w:val="left" w:pos="7560"/>
        </w:tabs>
        <w:adjustRightInd w:val="0"/>
        <w:snapToGrid w:val="0"/>
        <w:spacing w:line="560" w:lineRule="exact"/>
        <w:ind w:firstLine="640" w:firstLineChars="200"/>
        <w:jc w:val="left"/>
        <w:rPr>
          <w:rFonts w:eastAsia="仿宋_GB2312"/>
          <w:sz w:val="32"/>
          <w:szCs w:val="32"/>
        </w:rPr>
      </w:pPr>
    </w:p>
    <w:p>
      <w:pPr>
        <w:tabs>
          <w:tab w:val="left" w:pos="7560"/>
        </w:tabs>
        <w:adjustRightInd w:val="0"/>
        <w:snapToGrid w:val="0"/>
        <w:spacing w:line="560" w:lineRule="exact"/>
        <w:ind w:firstLine="640" w:firstLineChars="200"/>
        <w:jc w:val="left"/>
        <w:rPr>
          <w:rFonts w:hAnsi="黑体" w:eastAsia="黑体"/>
          <w:sz w:val="32"/>
          <w:szCs w:val="32"/>
        </w:rPr>
      </w:pPr>
    </w:p>
    <w:p>
      <w:pPr>
        <w:numPr>
          <w:ilvl w:val="0"/>
          <w:numId w:val="1"/>
        </w:numPr>
        <w:tabs>
          <w:tab w:val="left" w:pos="7560"/>
        </w:tabs>
        <w:adjustRightInd w:val="0"/>
        <w:snapToGrid w:val="0"/>
        <w:spacing w:line="560" w:lineRule="exact"/>
        <w:ind w:firstLine="640" w:firstLineChars="200"/>
        <w:rPr>
          <w:rFonts w:hAnsi="黑体" w:eastAsia="黑体"/>
          <w:sz w:val="32"/>
          <w:szCs w:val="32"/>
        </w:rPr>
      </w:pPr>
      <w:r>
        <w:rPr>
          <w:rFonts w:hAnsi="黑体" w:eastAsia="黑体"/>
          <w:sz w:val="32"/>
          <w:szCs w:val="32"/>
        </w:rPr>
        <w:t>部门职能职责</w:t>
      </w:r>
    </w:p>
    <w:p>
      <w:pPr>
        <w:widowControl/>
        <w:shd w:val="clear" w:color="auto" w:fill="FFFFFF"/>
        <w:spacing w:line="600" w:lineRule="exact"/>
        <w:ind w:firstLine="640" w:firstLineChars="200"/>
        <w:outlineLvl w:val="0"/>
        <w:rPr>
          <w:rFonts w:ascii="仿宋" w:hAnsi="仿宋" w:eastAsia="仿宋"/>
          <w:sz w:val="32"/>
          <w:szCs w:val="32"/>
        </w:rPr>
      </w:pPr>
      <w:r>
        <w:rPr>
          <w:rFonts w:hint="eastAsia" w:hAnsi="黑体" w:eastAsia="黑体"/>
          <w:sz w:val="32"/>
          <w:szCs w:val="32"/>
        </w:rPr>
        <w:t xml:space="preserve">        </w:t>
      </w:r>
      <w:r>
        <w:rPr>
          <w:rFonts w:hint="eastAsia" w:ascii="仿宋" w:hAnsi="仿宋" w:eastAsia="仿宋"/>
          <w:sz w:val="32"/>
          <w:szCs w:val="32"/>
        </w:rPr>
        <w:t>醴陵市工商业联合会是中国共产党领导的醴陵工商界组成的人民团体和民间商会。</w:t>
      </w:r>
    </w:p>
    <w:p>
      <w:pPr>
        <w:widowControl/>
        <w:shd w:val="clear" w:color="auto" w:fill="FFFFFF"/>
        <w:spacing w:line="600" w:lineRule="exact"/>
        <w:ind w:firstLine="640" w:firstLineChars="200"/>
        <w:outlineLvl w:val="0"/>
        <w:rPr>
          <w:rFonts w:ascii="仿宋" w:hAnsi="仿宋" w:eastAsia="仿宋"/>
          <w:sz w:val="32"/>
          <w:szCs w:val="32"/>
        </w:rPr>
      </w:pPr>
      <w:r>
        <w:rPr>
          <w:rFonts w:hint="eastAsia" w:ascii="仿宋" w:hAnsi="仿宋" w:eastAsia="仿宋"/>
          <w:sz w:val="32"/>
          <w:szCs w:val="32"/>
        </w:rPr>
        <w:t>本单位主要职责是：</w:t>
      </w:r>
    </w:p>
    <w:p>
      <w:pPr>
        <w:widowControl/>
        <w:shd w:val="clear" w:color="auto" w:fill="FFFFFF"/>
        <w:spacing w:line="600" w:lineRule="exact"/>
        <w:ind w:firstLine="640" w:firstLineChars="200"/>
        <w:outlineLvl w:val="0"/>
        <w:rPr>
          <w:rFonts w:ascii="仿宋" w:hAnsi="仿宋" w:eastAsia="仿宋"/>
          <w:sz w:val="32"/>
          <w:szCs w:val="32"/>
        </w:rPr>
      </w:pPr>
      <w:r>
        <w:rPr>
          <w:rFonts w:hint="eastAsia" w:ascii="仿宋" w:hAnsi="仿宋" w:eastAsia="仿宋"/>
          <w:sz w:val="32"/>
          <w:szCs w:val="32"/>
        </w:rPr>
        <w:t>（一）调查研究，积极参政议政，结合醴陵市民营经济发展现状，写出有情况、有分析、有建议的调研报告，力促为非公有制经济又好又快发展创造良好的发展环境。</w:t>
      </w:r>
    </w:p>
    <w:p>
      <w:pPr>
        <w:widowControl/>
        <w:shd w:val="clear" w:color="auto" w:fill="FFFFFF"/>
        <w:spacing w:line="600" w:lineRule="exact"/>
        <w:ind w:firstLine="640" w:firstLineChars="200"/>
        <w:outlineLvl w:val="0"/>
        <w:rPr>
          <w:rFonts w:ascii="仿宋" w:hAnsi="仿宋" w:eastAsia="仿宋"/>
          <w:sz w:val="32"/>
          <w:szCs w:val="32"/>
        </w:rPr>
      </w:pPr>
      <w:r>
        <w:rPr>
          <w:rFonts w:hint="eastAsia" w:ascii="仿宋" w:hAnsi="仿宋" w:eastAsia="仿宋"/>
          <w:sz w:val="32"/>
          <w:szCs w:val="32"/>
        </w:rPr>
        <w:t>（二）加快行业商会建设步伐，促进行业有序竞争和行业规范结合醴陵市行业发展结构的特点，加快行业商会、协会建设步伐，实现基层商会全覆盖。</w:t>
      </w:r>
    </w:p>
    <w:p>
      <w:pPr>
        <w:widowControl/>
        <w:shd w:val="clear" w:color="auto" w:fill="FFFFFF"/>
        <w:spacing w:line="600" w:lineRule="exact"/>
        <w:ind w:firstLine="640" w:firstLineChars="200"/>
        <w:outlineLvl w:val="0"/>
        <w:rPr>
          <w:rFonts w:ascii="仿宋" w:hAnsi="仿宋" w:eastAsia="仿宋"/>
          <w:sz w:val="32"/>
          <w:szCs w:val="32"/>
        </w:rPr>
      </w:pPr>
      <w:r>
        <w:rPr>
          <w:rFonts w:hint="eastAsia" w:ascii="仿宋" w:hAnsi="仿宋" w:eastAsia="仿宋"/>
          <w:sz w:val="32"/>
          <w:szCs w:val="32"/>
        </w:rPr>
        <w:t>（三）积极为招商引资服务，加强与省内外商会之间的交流与合作，加强商会间的信息沟通，组织民企负责人去省市内外学习访问考察和参加省内外各种展销会、交易会和贸易洽谈会，及时了解外地民营经济发展情况，使招商引资工作有成果、出成绩，为醴陵市民营企业加快发展，做优、做强、做大提供服务。</w:t>
      </w:r>
    </w:p>
    <w:p>
      <w:pPr>
        <w:widowControl/>
        <w:shd w:val="clear" w:color="auto" w:fill="FFFFFF"/>
        <w:spacing w:line="600" w:lineRule="exact"/>
        <w:ind w:firstLine="640" w:firstLineChars="200"/>
        <w:outlineLvl w:val="0"/>
        <w:rPr>
          <w:rFonts w:ascii="仿宋" w:hAnsi="仿宋" w:eastAsia="仿宋"/>
          <w:sz w:val="32"/>
          <w:szCs w:val="32"/>
        </w:rPr>
      </w:pPr>
      <w:r>
        <w:rPr>
          <w:rFonts w:hint="eastAsia" w:ascii="仿宋" w:hAnsi="仿宋" w:eastAsia="仿宋"/>
          <w:sz w:val="32"/>
          <w:szCs w:val="32"/>
        </w:rPr>
        <w:t>（四）继续开展民企培训工作，主题是应对新的经济形势下企业如何调整结构、技术创新、开拓市场、加快发展。</w:t>
      </w:r>
    </w:p>
    <w:p>
      <w:pPr>
        <w:widowControl/>
        <w:shd w:val="clear" w:color="auto" w:fill="FFFFFF"/>
        <w:spacing w:line="600" w:lineRule="exact"/>
        <w:ind w:firstLine="640" w:firstLineChars="200"/>
        <w:outlineLvl w:val="0"/>
        <w:rPr>
          <w:rFonts w:ascii="仿宋" w:hAnsi="仿宋" w:eastAsia="仿宋"/>
          <w:sz w:val="32"/>
          <w:szCs w:val="32"/>
        </w:rPr>
      </w:pPr>
      <w:r>
        <w:rPr>
          <w:rFonts w:hint="eastAsia" w:ascii="仿宋" w:hAnsi="仿宋" w:eastAsia="仿宋"/>
          <w:sz w:val="32"/>
          <w:szCs w:val="32"/>
        </w:rPr>
        <w:t>（五）积极开展好全市的非公党建工作。</w:t>
      </w:r>
    </w:p>
    <w:p>
      <w:pPr>
        <w:widowControl/>
        <w:shd w:val="clear" w:color="auto" w:fill="FFFFFF"/>
        <w:spacing w:line="600" w:lineRule="exact"/>
        <w:ind w:firstLine="640" w:firstLineChars="200"/>
        <w:outlineLvl w:val="0"/>
        <w:rPr>
          <w:rFonts w:ascii="仿宋" w:hAnsi="仿宋" w:eastAsia="仿宋"/>
          <w:sz w:val="32"/>
          <w:szCs w:val="32"/>
        </w:rPr>
      </w:pPr>
      <w:r>
        <w:rPr>
          <w:rFonts w:hint="eastAsia" w:ascii="仿宋" w:hAnsi="仿宋" w:eastAsia="仿宋"/>
          <w:sz w:val="32"/>
          <w:szCs w:val="32"/>
        </w:rPr>
        <w:t>（六）继续做好光彩事业工作，引导广大非公有制经济人土积极参与社会公益事业活动，回馈社会。</w:t>
      </w:r>
    </w:p>
    <w:p>
      <w:pPr>
        <w:widowControl/>
        <w:shd w:val="clear" w:color="auto" w:fill="FFFFFF"/>
        <w:spacing w:line="600" w:lineRule="exact"/>
        <w:ind w:firstLine="640" w:firstLineChars="200"/>
        <w:outlineLvl w:val="0"/>
        <w:rPr>
          <w:rFonts w:ascii="仿宋" w:hAnsi="仿宋" w:eastAsia="仿宋"/>
          <w:sz w:val="32"/>
          <w:szCs w:val="32"/>
        </w:rPr>
      </w:pPr>
      <w:r>
        <w:rPr>
          <w:rFonts w:hint="eastAsia" w:ascii="仿宋" w:hAnsi="仿宋" w:eastAsia="仿宋"/>
          <w:sz w:val="32"/>
          <w:szCs w:val="32"/>
        </w:rPr>
        <w:t>（七）成立法律援助服务中心，为非公企业提供维权服务中心。</w:t>
      </w:r>
    </w:p>
    <w:p>
      <w:pPr>
        <w:widowControl/>
        <w:shd w:val="clear" w:color="auto" w:fill="FFFFFF"/>
        <w:spacing w:line="600" w:lineRule="exact"/>
        <w:ind w:firstLine="640" w:firstLineChars="200"/>
        <w:outlineLvl w:val="0"/>
        <w:rPr>
          <w:rFonts w:ascii="仿宋" w:hAnsi="仿宋" w:eastAsia="仿宋"/>
          <w:sz w:val="32"/>
          <w:szCs w:val="32"/>
        </w:rPr>
      </w:pPr>
      <w:r>
        <w:rPr>
          <w:rFonts w:hint="eastAsia" w:ascii="仿宋" w:hAnsi="仿宋" w:eastAsia="仿宋"/>
          <w:sz w:val="32"/>
          <w:szCs w:val="32"/>
        </w:rPr>
        <w:t>（八）不断加强机关自身建设和文化建设步伐，促进目标管理和效能建设制度化、科学化，以精神文明创建活动为载体，认真履行好商会的各项职能。</w:t>
      </w:r>
    </w:p>
    <w:p>
      <w:pPr>
        <w:tabs>
          <w:tab w:val="left" w:pos="7560"/>
        </w:tabs>
        <w:adjustRightInd w:val="0"/>
        <w:snapToGrid w:val="0"/>
        <w:spacing w:line="560" w:lineRule="exact"/>
        <w:rPr>
          <w:rFonts w:hAnsi="黑体" w:eastAsia="黑体"/>
          <w:sz w:val="32"/>
          <w:szCs w:val="32"/>
        </w:rPr>
      </w:pPr>
    </w:p>
    <w:p>
      <w:pPr>
        <w:tabs>
          <w:tab w:val="left" w:pos="7560"/>
        </w:tabs>
        <w:adjustRightInd w:val="0"/>
        <w:snapToGrid w:val="0"/>
        <w:spacing w:line="560" w:lineRule="exact"/>
        <w:ind w:firstLine="640" w:firstLineChars="200"/>
        <w:rPr>
          <w:rFonts w:eastAsia="黑体"/>
          <w:color w:val="000000"/>
          <w:sz w:val="32"/>
          <w:szCs w:val="32"/>
        </w:rPr>
      </w:pPr>
      <w:r>
        <w:rPr>
          <w:rFonts w:hAnsi="黑体" w:eastAsia="黑体"/>
          <w:color w:val="000000"/>
          <w:sz w:val="32"/>
          <w:szCs w:val="32"/>
        </w:rPr>
        <w:t>二、机构设置</w:t>
      </w:r>
    </w:p>
    <w:p>
      <w:pPr>
        <w:tabs>
          <w:tab w:val="left" w:pos="7560"/>
        </w:tabs>
        <w:adjustRightInd w:val="0"/>
        <w:snapToGrid w:val="0"/>
        <w:spacing w:line="560" w:lineRule="exact"/>
        <w:ind w:firstLine="640" w:firstLineChars="200"/>
        <w:rPr>
          <w:rFonts w:eastAsia="仿宋_GB2312"/>
          <w:color w:val="000000"/>
          <w:sz w:val="32"/>
          <w:szCs w:val="32"/>
        </w:rPr>
      </w:pPr>
      <w:r>
        <w:rPr>
          <w:rFonts w:eastAsia="仿宋_GB2312"/>
          <w:bCs/>
          <w:color w:val="000000"/>
          <w:sz w:val="32"/>
          <w:szCs w:val="32"/>
        </w:rPr>
        <w:t> </w:t>
      </w:r>
      <w:r>
        <w:rPr>
          <w:rFonts w:eastAsia="仿宋_GB2312"/>
          <w:color w:val="000000"/>
          <w:sz w:val="32"/>
          <w:szCs w:val="32"/>
        </w:rPr>
        <w:t>本部门共有编制人数3人，实有人数</w:t>
      </w:r>
      <w:r>
        <w:rPr>
          <w:rFonts w:hint="eastAsia" w:eastAsia="仿宋_GB2312"/>
          <w:color w:val="000000"/>
          <w:sz w:val="32"/>
          <w:szCs w:val="32"/>
          <w:lang w:val="en-US" w:eastAsia="zh-CN"/>
        </w:rPr>
        <w:t>8</w:t>
      </w:r>
      <w:r>
        <w:rPr>
          <w:rFonts w:eastAsia="仿宋_GB2312"/>
          <w:color w:val="000000"/>
          <w:sz w:val="32"/>
          <w:szCs w:val="32"/>
        </w:rPr>
        <w:t>人。醴陵市工商业联合会内设机构包括： 办公室、企业家服务中心、会员部、经济联络部、宣传培训部、机关党支部等。本单位无下属二级</w:t>
      </w:r>
      <w:r>
        <w:rPr>
          <w:rFonts w:hint="eastAsia" w:eastAsia="仿宋_GB2312"/>
          <w:color w:val="000000"/>
          <w:sz w:val="32"/>
          <w:szCs w:val="32"/>
          <w:lang w:val="en-US" w:eastAsia="zh-CN"/>
        </w:rPr>
        <w:t>预算</w:t>
      </w:r>
      <w:bookmarkStart w:id="0" w:name="_GoBack"/>
      <w:bookmarkEnd w:id="0"/>
      <w:r>
        <w:rPr>
          <w:rFonts w:eastAsia="仿宋_GB2312"/>
          <w:color w:val="000000"/>
          <w:sz w:val="32"/>
          <w:szCs w:val="32"/>
        </w:rPr>
        <w:t>单位。</w:t>
      </w:r>
    </w:p>
    <w:p>
      <w:pPr>
        <w:tabs>
          <w:tab w:val="left" w:pos="7560"/>
        </w:tabs>
        <w:adjustRightInd w:val="0"/>
        <w:snapToGrid w:val="0"/>
        <w:spacing w:line="560" w:lineRule="exact"/>
        <w:ind w:firstLine="640" w:firstLineChars="200"/>
        <w:rPr>
          <w:rFonts w:eastAsia="黑体"/>
          <w:color w:val="000000"/>
          <w:sz w:val="32"/>
          <w:szCs w:val="32"/>
        </w:rPr>
      </w:pPr>
      <w:r>
        <w:rPr>
          <w:rFonts w:hAnsi="黑体" w:eastAsia="黑体"/>
          <w:color w:val="000000"/>
          <w:sz w:val="32"/>
          <w:szCs w:val="32"/>
        </w:rPr>
        <w:t>三、</w:t>
      </w:r>
      <w:r>
        <w:rPr>
          <w:rFonts w:eastAsia="黑体"/>
          <w:color w:val="000000"/>
          <w:sz w:val="32"/>
          <w:szCs w:val="32"/>
        </w:rPr>
        <w:t xml:space="preserve"> </w:t>
      </w:r>
      <w:r>
        <w:rPr>
          <w:rFonts w:hAnsi="黑体" w:eastAsia="黑体"/>
          <w:color w:val="000000"/>
          <w:sz w:val="32"/>
          <w:szCs w:val="32"/>
        </w:rPr>
        <w:t>部门收支概况</w:t>
      </w:r>
    </w:p>
    <w:p>
      <w:pPr>
        <w:tabs>
          <w:tab w:val="left" w:pos="7560"/>
        </w:tabs>
        <w:adjustRightInd w:val="0"/>
        <w:snapToGrid w:val="0"/>
        <w:spacing w:line="560" w:lineRule="exact"/>
        <w:ind w:firstLine="640" w:firstLineChars="200"/>
        <w:rPr>
          <w:rFonts w:ascii="仿宋" w:hAnsi="仿宋" w:eastAsia="仿宋"/>
          <w:color w:val="000000"/>
          <w:sz w:val="32"/>
          <w:szCs w:val="32"/>
        </w:rPr>
      </w:pPr>
      <w:r>
        <w:rPr>
          <w:rFonts w:ascii="仿宋" w:hAnsi="仿宋" w:eastAsia="仿宋"/>
          <w:color w:val="000000"/>
          <w:sz w:val="32"/>
          <w:szCs w:val="32"/>
        </w:rPr>
        <w:t>2021年部门预算编报范围包括机关</w:t>
      </w:r>
      <w:r>
        <w:rPr>
          <w:rFonts w:hint="eastAsia" w:ascii="仿宋" w:hAnsi="仿宋" w:eastAsia="仿宋"/>
          <w:color w:val="000000"/>
          <w:sz w:val="32"/>
          <w:szCs w:val="32"/>
        </w:rPr>
        <w:t>，本单位</w:t>
      </w:r>
      <w:r>
        <w:rPr>
          <w:rFonts w:ascii="仿宋" w:hAnsi="仿宋" w:eastAsia="仿宋"/>
          <w:color w:val="000000"/>
          <w:sz w:val="32"/>
          <w:szCs w:val="32"/>
        </w:rPr>
        <w:t>无下属二级预算单位。收入包括一般公共预算收入；支出包括保障机关基本运行的经费。</w:t>
      </w:r>
    </w:p>
    <w:p>
      <w:pPr>
        <w:tabs>
          <w:tab w:val="left" w:pos="7560"/>
        </w:tabs>
        <w:adjustRightInd w:val="0"/>
        <w:snapToGrid w:val="0"/>
        <w:spacing w:line="560" w:lineRule="exact"/>
        <w:ind w:firstLine="640" w:firstLineChars="200"/>
        <w:rPr>
          <w:rFonts w:ascii="仿宋" w:hAnsi="仿宋" w:eastAsia="仿宋"/>
          <w:color w:val="000000"/>
          <w:sz w:val="32"/>
          <w:szCs w:val="32"/>
        </w:rPr>
      </w:pPr>
      <w:r>
        <w:rPr>
          <w:rFonts w:eastAsia="楷体_GB2312"/>
          <w:bCs/>
          <w:color w:val="000000"/>
          <w:sz w:val="32"/>
          <w:szCs w:val="32"/>
        </w:rPr>
        <w:t>（一）收入预算：</w:t>
      </w:r>
      <w:r>
        <w:rPr>
          <w:rFonts w:hint="eastAsia" w:eastAsia="仿宋_GB2312"/>
          <w:color w:val="000000"/>
          <w:sz w:val="32"/>
          <w:szCs w:val="32"/>
        </w:rPr>
        <w:t xml:space="preserve"> </w:t>
      </w:r>
      <w:r>
        <w:rPr>
          <w:rFonts w:hint="eastAsia" w:ascii="仿宋" w:hAnsi="仿宋" w:eastAsia="仿宋"/>
          <w:color w:val="000000"/>
          <w:sz w:val="32"/>
          <w:szCs w:val="32"/>
        </w:rPr>
        <w:t>2021</w:t>
      </w:r>
      <w:r>
        <w:rPr>
          <w:rFonts w:ascii="仿宋" w:hAnsi="仿宋" w:eastAsia="仿宋"/>
          <w:color w:val="000000"/>
          <w:sz w:val="32"/>
          <w:szCs w:val="32"/>
        </w:rPr>
        <w:t>年年初预算数94.94万元，其中，一般公共预算拨款94.94万元；政府性基金拨款0万元；财政专户管理的非税收入拨款0万元；其他收入0万元。因上年结转数暂未最终确定，本年度收支预算中均不含上年结转数字</w:t>
      </w:r>
      <w:r>
        <w:rPr>
          <w:rFonts w:hint="eastAsia" w:ascii="仿宋" w:hAnsi="仿宋" w:eastAsia="仿宋"/>
          <w:color w:val="000000"/>
          <w:sz w:val="32"/>
          <w:szCs w:val="32"/>
        </w:rPr>
        <w:t>。</w:t>
      </w:r>
    </w:p>
    <w:p>
      <w:pPr>
        <w:tabs>
          <w:tab w:val="left" w:pos="7560"/>
        </w:tabs>
        <w:adjustRightInd w:val="0"/>
        <w:snapToGrid w:val="0"/>
        <w:spacing w:line="560" w:lineRule="exact"/>
        <w:ind w:firstLine="640" w:firstLineChars="200"/>
        <w:rPr>
          <w:rFonts w:ascii="仿宋" w:hAnsi="仿宋" w:eastAsia="仿宋"/>
          <w:color w:val="000000"/>
          <w:sz w:val="32"/>
          <w:szCs w:val="32"/>
        </w:rPr>
      </w:pPr>
      <w:r>
        <w:rPr>
          <w:rFonts w:eastAsia="楷体_GB2312"/>
          <w:bCs/>
          <w:color w:val="000000"/>
          <w:sz w:val="32"/>
          <w:szCs w:val="32"/>
        </w:rPr>
        <w:t>（二）支出预算：</w:t>
      </w:r>
      <w:r>
        <w:rPr>
          <w:rFonts w:hint="eastAsia" w:ascii="仿宋" w:hAnsi="仿宋" w:eastAsia="仿宋"/>
          <w:color w:val="000000"/>
          <w:sz w:val="32"/>
          <w:szCs w:val="32"/>
        </w:rPr>
        <w:t>202</w:t>
      </w:r>
      <w:r>
        <w:rPr>
          <w:rFonts w:ascii="仿宋" w:hAnsi="仿宋" w:eastAsia="仿宋"/>
          <w:color w:val="000000"/>
          <w:sz w:val="32"/>
          <w:szCs w:val="32"/>
        </w:rPr>
        <w:t>1年年初预算数94.94万元，其中，一般公共服务支出92.68万元，</w:t>
      </w:r>
      <w:r>
        <w:rPr>
          <w:rFonts w:hint="eastAsia" w:ascii="仿宋" w:hAnsi="仿宋" w:eastAsia="仿宋"/>
          <w:color w:val="000000"/>
          <w:sz w:val="32"/>
          <w:szCs w:val="32"/>
        </w:rPr>
        <w:t>卫生健康支出</w:t>
      </w:r>
      <w:r>
        <w:rPr>
          <w:rFonts w:ascii="仿宋" w:hAnsi="仿宋" w:eastAsia="仿宋"/>
          <w:color w:val="000000"/>
          <w:sz w:val="32"/>
          <w:szCs w:val="32"/>
        </w:rPr>
        <w:t>2.26万元。</w:t>
      </w:r>
    </w:p>
    <w:p>
      <w:pPr>
        <w:tabs>
          <w:tab w:val="left" w:pos="7560"/>
        </w:tabs>
        <w:adjustRightInd w:val="0"/>
        <w:snapToGrid w:val="0"/>
        <w:spacing w:line="560" w:lineRule="exact"/>
        <w:ind w:firstLine="640" w:firstLineChars="200"/>
        <w:rPr>
          <w:rFonts w:eastAsia="仿宋_GB2312"/>
          <w:color w:val="000000"/>
          <w:sz w:val="32"/>
          <w:szCs w:val="32"/>
        </w:rPr>
      </w:pPr>
      <w:r>
        <w:rPr>
          <w:rFonts w:eastAsia="仿宋_GB2312"/>
          <w:color w:val="000000"/>
          <w:sz w:val="32"/>
          <w:szCs w:val="32"/>
        </w:rPr>
        <w:t>具体安排如下：</w:t>
      </w:r>
    </w:p>
    <w:p>
      <w:pPr>
        <w:tabs>
          <w:tab w:val="left" w:pos="7560"/>
        </w:tabs>
        <w:adjustRightInd w:val="0"/>
        <w:snapToGrid w:val="0"/>
        <w:spacing w:line="560" w:lineRule="exact"/>
        <w:ind w:firstLine="643" w:firstLineChars="200"/>
        <w:rPr>
          <w:rFonts w:ascii="仿宋" w:hAnsi="仿宋" w:eastAsia="仿宋"/>
          <w:color w:val="000000"/>
          <w:sz w:val="32"/>
          <w:szCs w:val="32"/>
        </w:rPr>
      </w:pPr>
      <w:r>
        <w:rPr>
          <w:rFonts w:eastAsia="仿宋_GB2312"/>
          <w:b/>
          <w:color w:val="000000"/>
          <w:sz w:val="32"/>
          <w:szCs w:val="32"/>
        </w:rPr>
        <w:t>1.基本支出：</w:t>
      </w:r>
      <w:r>
        <w:rPr>
          <w:rFonts w:hint="eastAsia" w:ascii="仿宋" w:hAnsi="仿宋" w:eastAsia="仿宋"/>
          <w:color w:val="000000"/>
          <w:sz w:val="32"/>
          <w:szCs w:val="32"/>
        </w:rPr>
        <w:t>2021</w:t>
      </w:r>
      <w:r>
        <w:rPr>
          <w:rFonts w:ascii="仿宋" w:hAnsi="仿宋" w:eastAsia="仿宋"/>
          <w:color w:val="000000"/>
          <w:sz w:val="32"/>
          <w:szCs w:val="32"/>
        </w:rPr>
        <w:t>年年初预算数为94.94万元，是指为保障单位机构正常运转、完成日常工作任务而发生的各项支出，包括用于基本工资、津贴补贴等人员经费以及日常公用经费、</w:t>
      </w:r>
      <w:r>
        <w:rPr>
          <w:rFonts w:hint="eastAsia" w:ascii="仿宋" w:hAnsi="仿宋" w:eastAsia="仿宋"/>
          <w:color w:val="000000"/>
          <w:sz w:val="32"/>
          <w:szCs w:val="32"/>
        </w:rPr>
        <w:t>工作性专项</w:t>
      </w:r>
      <w:r>
        <w:rPr>
          <w:rFonts w:ascii="仿宋" w:hAnsi="仿宋" w:eastAsia="仿宋"/>
          <w:color w:val="000000"/>
          <w:sz w:val="32"/>
          <w:szCs w:val="32"/>
        </w:rPr>
        <w:t>。其中包括</w:t>
      </w:r>
      <w:r>
        <w:rPr>
          <w:rFonts w:hint="eastAsia" w:ascii="仿宋" w:hAnsi="仿宋" w:eastAsia="仿宋"/>
          <w:color w:val="000000"/>
          <w:sz w:val="32"/>
          <w:szCs w:val="32"/>
          <w:lang w:val="en-US" w:eastAsia="zh-CN"/>
        </w:rPr>
        <w:t>工资福利支出56.96</w:t>
      </w:r>
      <w:r>
        <w:rPr>
          <w:rFonts w:ascii="仿宋" w:hAnsi="仿宋" w:eastAsia="仿宋"/>
          <w:color w:val="000000"/>
          <w:sz w:val="32"/>
          <w:szCs w:val="32"/>
        </w:rPr>
        <w:t>万元、</w:t>
      </w:r>
      <w:r>
        <w:rPr>
          <w:rFonts w:hint="eastAsia" w:ascii="仿宋" w:hAnsi="仿宋" w:eastAsia="仿宋"/>
          <w:color w:val="000000"/>
          <w:sz w:val="32"/>
          <w:szCs w:val="32"/>
          <w:lang w:val="en-US" w:eastAsia="zh-CN"/>
        </w:rPr>
        <w:t>一般商品和服务支出4.56</w:t>
      </w:r>
      <w:r>
        <w:rPr>
          <w:rFonts w:ascii="仿宋" w:hAnsi="仿宋" w:eastAsia="仿宋"/>
          <w:color w:val="000000"/>
          <w:sz w:val="32"/>
          <w:szCs w:val="32"/>
        </w:rPr>
        <w:t>万元、</w:t>
      </w:r>
      <w:r>
        <w:rPr>
          <w:rFonts w:hint="eastAsia" w:ascii="仿宋" w:hAnsi="仿宋" w:eastAsia="仿宋"/>
          <w:color w:val="000000"/>
          <w:sz w:val="32"/>
          <w:szCs w:val="32"/>
          <w:lang w:val="en-US" w:eastAsia="zh-CN"/>
        </w:rPr>
        <w:t>工作性专项33.42</w:t>
      </w:r>
      <w:r>
        <w:rPr>
          <w:rFonts w:ascii="仿宋" w:hAnsi="仿宋" w:eastAsia="仿宋"/>
          <w:color w:val="000000"/>
          <w:sz w:val="32"/>
          <w:szCs w:val="32"/>
        </w:rPr>
        <w:t>万元。</w:t>
      </w:r>
    </w:p>
    <w:p>
      <w:pPr>
        <w:tabs>
          <w:tab w:val="left" w:pos="7560"/>
        </w:tabs>
        <w:adjustRightInd w:val="0"/>
        <w:snapToGrid w:val="0"/>
        <w:spacing w:line="560" w:lineRule="exact"/>
        <w:ind w:firstLine="643" w:firstLineChars="200"/>
        <w:rPr>
          <w:rFonts w:eastAsia="仿宋_GB2312"/>
          <w:color w:val="000000"/>
          <w:sz w:val="32"/>
          <w:szCs w:val="32"/>
        </w:rPr>
      </w:pPr>
      <w:r>
        <w:rPr>
          <w:rFonts w:eastAsia="仿宋_GB2312"/>
          <w:b/>
          <w:color w:val="000000"/>
          <w:sz w:val="32"/>
          <w:szCs w:val="32"/>
        </w:rPr>
        <w:t>2.项目支出：</w:t>
      </w:r>
      <w:r>
        <w:rPr>
          <w:rFonts w:hint="eastAsia" w:ascii="仿宋" w:hAnsi="仿宋" w:eastAsia="仿宋"/>
          <w:color w:val="000000"/>
          <w:sz w:val="32"/>
          <w:szCs w:val="32"/>
        </w:rPr>
        <w:t>2021</w:t>
      </w:r>
      <w:r>
        <w:rPr>
          <w:rFonts w:ascii="仿宋" w:hAnsi="仿宋" w:eastAsia="仿宋"/>
          <w:color w:val="000000"/>
          <w:sz w:val="32"/>
          <w:szCs w:val="32"/>
        </w:rPr>
        <w:t>年年初预算数为0万元，是指单位为完成特定行政工作任务或事业发展目标而发生的支出，包括有关事业发展专项、基本建设支出、资本性支出等。</w:t>
      </w:r>
    </w:p>
    <w:p>
      <w:pPr>
        <w:tabs>
          <w:tab w:val="left" w:pos="7560"/>
        </w:tabs>
        <w:adjustRightInd w:val="0"/>
        <w:snapToGrid w:val="0"/>
        <w:spacing w:line="560" w:lineRule="exact"/>
        <w:ind w:firstLine="640" w:firstLineChars="200"/>
        <w:rPr>
          <w:rFonts w:ascii="仿宋" w:hAnsi="仿宋" w:eastAsia="仿宋"/>
          <w:color w:val="000000"/>
          <w:sz w:val="32"/>
          <w:szCs w:val="32"/>
        </w:rPr>
      </w:pPr>
      <w:r>
        <w:rPr>
          <w:rFonts w:eastAsia="楷体_GB2312"/>
          <w:bCs/>
          <w:color w:val="000000"/>
          <w:sz w:val="32"/>
          <w:szCs w:val="32"/>
        </w:rPr>
        <w:t>（三）预算收支增减变化情况说明：</w:t>
      </w:r>
      <w:r>
        <w:rPr>
          <w:rFonts w:ascii="仿宋" w:hAnsi="仿宋" w:eastAsia="仿宋"/>
          <w:color w:val="000000"/>
          <w:sz w:val="32"/>
          <w:szCs w:val="32"/>
        </w:rPr>
        <w:t>20</w:t>
      </w:r>
      <w:r>
        <w:rPr>
          <w:rFonts w:hint="eastAsia" w:ascii="仿宋" w:hAnsi="仿宋" w:eastAsia="仿宋"/>
          <w:color w:val="000000"/>
          <w:sz w:val="32"/>
          <w:szCs w:val="32"/>
        </w:rPr>
        <w:t>21</w:t>
      </w:r>
      <w:r>
        <w:rPr>
          <w:rFonts w:ascii="仿宋" w:hAnsi="仿宋" w:eastAsia="仿宋"/>
          <w:color w:val="000000"/>
          <w:sz w:val="32"/>
          <w:szCs w:val="32"/>
        </w:rPr>
        <w:t>年度本单位年初预算数为94.94万元，比上年</w:t>
      </w:r>
      <w:r>
        <w:rPr>
          <w:rFonts w:hint="eastAsia" w:ascii="仿宋" w:hAnsi="仿宋" w:eastAsia="仿宋"/>
          <w:color w:val="000000"/>
          <w:sz w:val="32"/>
          <w:szCs w:val="32"/>
        </w:rPr>
        <w:t>减少</w:t>
      </w:r>
      <w:r>
        <w:rPr>
          <w:rFonts w:ascii="仿宋" w:hAnsi="仿宋" w:eastAsia="仿宋"/>
          <w:color w:val="000000"/>
          <w:sz w:val="32"/>
          <w:szCs w:val="32"/>
        </w:rPr>
        <w:t>46.36万元，主要原因是</w:t>
      </w:r>
      <w:r>
        <w:rPr>
          <w:rFonts w:hint="eastAsia" w:ascii="仿宋" w:hAnsi="仿宋" w:eastAsia="仿宋"/>
          <w:color w:val="000000"/>
          <w:sz w:val="32"/>
          <w:szCs w:val="32"/>
        </w:rPr>
        <w:t>节约开支，工作性专项经费减少。</w:t>
      </w:r>
    </w:p>
    <w:p>
      <w:pPr>
        <w:tabs>
          <w:tab w:val="left" w:pos="7560"/>
        </w:tabs>
        <w:adjustRightInd w:val="0"/>
        <w:snapToGrid w:val="0"/>
        <w:spacing w:line="560" w:lineRule="exact"/>
        <w:ind w:firstLine="640" w:firstLineChars="200"/>
        <w:rPr>
          <w:rFonts w:eastAsia="黑体"/>
          <w:color w:val="000000"/>
          <w:sz w:val="32"/>
          <w:szCs w:val="32"/>
        </w:rPr>
      </w:pPr>
      <w:r>
        <w:rPr>
          <w:rFonts w:hAnsi="黑体" w:eastAsia="黑体"/>
          <w:color w:val="000000"/>
          <w:sz w:val="32"/>
          <w:szCs w:val="32"/>
        </w:rPr>
        <w:t>四、其他重要事项情况说明</w:t>
      </w:r>
    </w:p>
    <w:p>
      <w:pPr>
        <w:tabs>
          <w:tab w:val="left" w:pos="7560"/>
        </w:tabs>
        <w:adjustRightInd w:val="0"/>
        <w:snapToGrid w:val="0"/>
        <w:spacing w:line="560" w:lineRule="exact"/>
        <w:ind w:firstLine="640" w:firstLineChars="200"/>
        <w:rPr>
          <w:rFonts w:ascii="仿宋" w:hAnsi="仿宋" w:eastAsia="仿宋"/>
          <w:color w:val="000000"/>
          <w:sz w:val="32"/>
          <w:szCs w:val="32"/>
        </w:rPr>
      </w:pPr>
      <w:r>
        <w:rPr>
          <w:rFonts w:eastAsia="楷体_GB2312"/>
          <w:bCs/>
          <w:color w:val="000000"/>
          <w:sz w:val="32"/>
          <w:szCs w:val="32"/>
        </w:rPr>
        <w:t>（一）机关运行经费：</w:t>
      </w:r>
      <w:r>
        <w:rPr>
          <w:rFonts w:ascii="仿宋" w:hAnsi="仿宋" w:eastAsia="仿宋"/>
          <w:color w:val="000000"/>
          <w:sz w:val="32"/>
          <w:szCs w:val="32"/>
        </w:rPr>
        <w:t>本部门</w:t>
      </w:r>
      <w:r>
        <w:rPr>
          <w:rFonts w:hint="eastAsia" w:ascii="仿宋" w:hAnsi="仿宋" w:eastAsia="仿宋"/>
          <w:color w:val="000000"/>
          <w:sz w:val="32"/>
          <w:szCs w:val="32"/>
        </w:rPr>
        <w:t>2021</w:t>
      </w:r>
      <w:r>
        <w:rPr>
          <w:rFonts w:ascii="仿宋" w:hAnsi="仿宋" w:eastAsia="仿宋"/>
          <w:color w:val="000000"/>
          <w:sz w:val="32"/>
          <w:szCs w:val="32"/>
        </w:rPr>
        <w:t>年年初预算机关运行经费(商品和服务支出+</w:t>
      </w:r>
      <w:r>
        <w:rPr>
          <w:rFonts w:hint="eastAsia" w:ascii="仿宋" w:hAnsi="仿宋" w:eastAsia="仿宋"/>
          <w:color w:val="000000"/>
          <w:sz w:val="32"/>
          <w:szCs w:val="32"/>
        </w:rPr>
        <w:t>工作性</w:t>
      </w:r>
      <w:r>
        <w:rPr>
          <w:rFonts w:ascii="仿宋" w:hAnsi="仿宋" w:eastAsia="仿宋"/>
          <w:color w:val="000000"/>
          <w:sz w:val="32"/>
          <w:szCs w:val="32"/>
        </w:rPr>
        <w:t>专项)共安排37.98万元，比上年度预算</w:t>
      </w:r>
      <w:r>
        <w:rPr>
          <w:rFonts w:hint="eastAsia" w:ascii="仿宋" w:hAnsi="仿宋" w:eastAsia="仿宋"/>
          <w:color w:val="000000"/>
          <w:sz w:val="32"/>
          <w:szCs w:val="32"/>
        </w:rPr>
        <w:t>减少1</w:t>
      </w:r>
      <w:r>
        <w:rPr>
          <w:rFonts w:ascii="仿宋" w:hAnsi="仿宋" w:eastAsia="仿宋"/>
          <w:color w:val="000000"/>
          <w:sz w:val="32"/>
          <w:szCs w:val="32"/>
        </w:rPr>
        <w:t>6.5</w:t>
      </w:r>
      <w:r>
        <w:rPr>
          <w:rFonts w:hint="eastAsia" w:ascii="仿宋" w:hAnsi="仿宋" w:eastAsia="仿宋"/>
          <w:color w:val="000000"/>
          <w:sz w:val="32"/>
          <w:szCs w:val="32"/>
        </w:rPr>
        <w:t xml:space="preserve"> </w:t>
      </w:r>
      <w:r>
        <w:rPr>
          <w:rFonts w:ascii="仿宋" w:hAnsi="仿宋" w:eastAsia="仿宋"/>
          <w:color w:val="000000"/>
          <w:sz w:val="32"/>
          <w:szCs w:val="32"/>
        </w:rPr>
        <w:t>万元，</w:t>
      </w:r>
      <w:r>
        <w:rPr>
          <w:rFonts w:hint="eastAsia" w:ascii="仿宋" w:hAnsi="仿宋" w:eastAsia="仿宋"/>
          <w:color w:val="000000"/>
          <w:sz w:val="32"/>
          <w:szCs w:val="32"/>
        </w:rPr>
        <w:t>减少</w:t>
      </w:r>
      <w:r>
        <w:rPr>
          <w:rFonts w:ascii="仿宋" w:hAnsi="仿宋" w:eastAsia="仿宋"/>
          <w:bCs/>
          <w:color w:val="000000"/>
          <w:sz w:val="32"/>
          <w:szCs w:val="32"/>
        </w:rPr>
        <w:t>的主要原因是：</w:t>
      </w:r>
      <w:r>
        <w:rPr>
          <w:rFonts w:hint="eastAsia" w:ascii="仿宋" w:hAnsi="仿宋" w:eastAsia="仿宋"/>
          <w:bCs/>
          <w:color w:val="000000"/>
          <w:sz w:val="32"/>
          <w:szCs w:val="32"/>
        </w:rPr>
        <w:t>工作性专项经费减少。</w:t>
      </w:r>
    </w:p>
    <w:p>
      <w:pPr>
        <w:tabs>
          <w:tab w:val="left" w:pos="7560"/>
        </w:tabs>
        <w:adjustRightInd w:val="0"/>
        <w:snapToGrid w:val="0"/>
        <w:spacing w:line="560" w:lineRule="exact"/>
        <w:ind w:firstLine="640" w:firstLineChars="200"/>
        <w:rPr>
          <w:rFonts w:ascii="仿宋" w:hAnsi="仿宋" w:eastAsia="仿宋"/>
          <w:color w:val="000000"/>
          <w:sz w:val="32"/>
          <w:szCs w:val="32"/>
        </w:rPr>
      </w:pPr>
      <w:r>
        <w:rPr>
          <w:rFonts w:eastAsia="楷体_GB2312"/>
          <w:bCs/>
          <w:color w:val="000000"/>
          <w:sz w:val="32"/>
          <w:szCs w:val="32"/>
        </w:rPr>
        <w:t>（二)政府采购预算：</w:t>
      </w:r>
      <w:r>
        <w:rPr>
          <w:rFonts w:hint="eastAsia" w:ascii="仿宋" w:hAnsi="仿宋" w:eastAsia="仿宋"/>
          <w:color w:val="000000"/>
          <w:sz w:val="32"/>
          <w:szCs w:val="32"/>
        </w:rPr>
        <w:t>2021</w:t>
      </w:r>
      <w:r>
        <w:rPr>
          <w:rFonts w:ascii="仿宋" w:hAnsi="仿宋" w:eastAsia="仿宋"/>
          <w:color w:val="000000"/>
          <w:sz w:val="32"/>
          <w:szCs w:val="32"/>
        </w:rPr>
        <w:t>年年初预算数为</w:t>
      </w:r>
      <w:r>
        <w:rPr>
          <w:rFonts w:hint="eastAsia" w:ascii="仿宋" w:hAnsi="仿宋" w:eastAsia="仿宋"/>
          <w:color w:val="000000"/>
          <w:sz w:val="32"/>
          <w:szCs w:val="32"/>
          <w:lang w:val="en-US" w:eastAsia="zh-CN"/>
        </w:rPr>
        <w:t>0</w:t>
      </w:r>
      <w:r>
        <w:rPr>
          <w:rFonts w:ascii="仿宋" w:hAnsi="仿宋" w:eastAsia="仿宋"/>
          <w:color w:val="000000"/>
          <w:sz w:val="32"/>
          <w:szCs w:val="32"/>
        </w:rPr>
        <w:t>万元。包含：</w:t>
      </w:r>
      <w:r>
        <w:rPr>
          <w:rFonts w:eastAsia="楷体_GB2312"/>
          <w:bCs/>
          <w:color w:val="000000"/>
          <w:sz w:val="32"/>
          <w:szCs w:val="32"/>
        </w:rPr>
        <w:t>政府采购</w:t>
      </w:r>
      <w:r>
        <w:rPr>
          <w:rFonts w:hint="eastAsia" w:eastAsia="楷体_GB2312"/>
          <w:bCs/>
          <w:color w:val="000000"/>
          <w:sz w:val="32"/>
          <w:szCs w:val="32"/>
          <w:lang w:val="en-US" w:eastAsia="zh-CN"/>
        </w:rPr>
        <w:t>服务类</w:t>
      </w:r>
      <w:r>
        <w:rPr>
          <w:rFonts w:hint="eastAsia" w:ascii="仿宋" w:hAnsi="仿宋" w:eastAsia="仿宋"/>
          <w:color w:val="000000"/>
          <w:sz w:val="32"/>
          <w:szCs w:val="32"/>
          <w:lang w:val="en-US" w:eastAsia="zh-CN"/>
        </w:rPr>
        <w:t>0</w:t>
      </w:r>
      <w:r>
        <w:rPr>
          <w:rFonts w:ascii="仿宋" w:hAnsi="仿宋" w:eastAsia="仿宋"/>
          <w:color w:val="000000"/>
          <w:sz w:val="32"/>
          <w:szCs w:val="32"/>
        </w:rPr>
        <w:t>万元</w:t>
      </w:r>
      <w:r>
        <w:rPr>
          <w:rFonts w:hint="eastAsia" w:ascii="仿宋" w:hAnsi="仿宋" w:eastAsia="仿宋"/>
          <w:color w:val="000000"/>
          <w:sz w:val="32"/>
          <w:szCs w:val="32"/>
          <w:lang w:eastAsia="zh-CN"/>
        </w:rPr>
        <w:t>，</w:t>
      </w:r>
      <w:r>
        <w:rPr>
          <w:rFonts w:eastAsia="楷体_GB2312"/>
          <w:bCs/>
          <w:color w:val="000000"/>
          <w:sz w:val="32"/>
          <w:szCs w:val="32"/>
        </w:rPr>
        <w:t>政府采购</w:t>
      </w:r>
      <w:r>
        <w:rPr>
          <w:rFonts w:hint="eastAsia" w:eastAsia="楷体_GB2312"/>
          <w:bCs/>
          <w:color w:val="000000"/>
          <w:sz w:val="32"/>
          <w:szCs w:val="32"/>
          <w:lang w:val="en-US" w:eastAsia="zh-CN"/>
        </w:rPr>
        <w:t>工程类</w:t>
      </w:r>
      <w:r>
        <w:rPr>
          <w:rFonts w:hint="eastAsia" w:ascii="仿宋" w:hAnsi="仿宋" w:eastAsia="仿宋"/>
          <w:color w:val="000000"/>
          <w:sz w:val="32"/>
          <w:szCs w:val="32"/>
          <w:lang w:val="en-US" w:eastAsia="zh-CN"/>
        </w:rPr>
        <w:t>0</w:t>
      </w:r>
      <w:r>
        <w:rPr>
          <w:rFonts w:ascii="仿宋" w:hAnsi="仿宋" w:eastAsia="仿宋"/>
          <w:color w:val="000000"/>
          <w:sz w:val="32"/>
          <w:szCs w:val="32"/>
        </w:rPr>
        <w:t>万元</w:t>
      </w:r>
      <w:r>
        <w:rPr>
          <w:rFonts w:hint="eastAsia" w:ascii="仿宋" w:hAnsi="仿宋" w:eastAsia="仿宋"/>
          <w:color w:val="000000"/>
          <w:sz w:val="32"/>
          <w:szCs w:val="32"/>
          <w:lang w:eastAsia="zh-CN"/>
        </w:rPr>
        <w:t>，</w:t>
      </w:r>
      <w:r>
        <w:rPr>
          <w:rFonts w:eastAsia="楷体_GB2312"/>
          <w:bCs/>
          <w:color w:val="000000"/>
          <w:sz w:val="32"/>
          <w:szCs w:val="32"/>
        </w:rPr>
        <w:t>政府采购</w:t>
      </w:r>
      <w:r>
        <w:rPr>
          <w:rFonts w:hint="eastAsia" w:eastAsia="楷体_GB2312"/>
          <w:bCs/>
          <w:color w:val="000000"/>
          <w:sz w:val="32"/>
          <w:szCs w:val="32"/>
          <w:lang w:val="en-US" w:eastAsia="zh-CN"/>
        </w:rPr>
        <w:t>货物类</w:t>
      </w:r>
      <w:r>
        <w:rPr>
          <w:rFonts w:hint="eastAsia" w:ascii="仿宋" w:hAnsi="仿宋" w:eastAsia="仿宋"/>
          <w:color w:val="000000"/>
          <w:sz w:val="32"/>
          <w:szCs w:val="32"/>
          <w:lang w:val="en-US" w:eastAsia="zh-CN"/>
        </w:rPr>
        <w:t>0</w:t>
      </w:r>
      <w:r>
        <w:rPr>
          <w:rFonts w:ascii="仿宋" w:hAnsi="仿宋" w:eastAsia="仿宋"/>
          <w:color w:val="000000"/>
          <w:sz w:val="32"/>
          <w:szCs w:val="32"/>
        </w:rPr>
        <w:t>万元。</w:t>
      </w:r>
    </w:p>
    <w:p>
      <w:pPr>
        <w:tabs>
          <w:tab w:val="left" w:pos="7560"/>
        </w:tabs>
        <w:adjustRightInd w:val="0"/>
        <w:snapToGrid w:val="0"/>
        <w:spacing w:line="560" w:lineRule="exact"/>
        <w:ind w:firstLine="640" w:firstLineChars="200"/>
        <w:rPr>
          <w:rFonts w:eastAsia="仿宋_GB2312"/>
          <w:color w:val="000000"/>
          <w:sz w:val="32"/>
          <w:szCs w:val="32"/>
        </w:rPr>
      </w:pPr>
      <w:r>
        <w:rPr>
          <w:rFonts w:eastAsia="楷体_GB2312"/>
          <w:bCs/>
          <w:color w:val="000000"/>
          <w:sz w:val="32"/>
          <w:szCs w:val="32"/>
        </w:rPr>
        <w:t>（三）国有资产占有情况：</w:t>
      </w:r>
      <w:r>
        <w:rPr>
          <w:rFonts w:ascii="仿宋" w:hAnsi="仿宋" w:eastAsia="仿宋"/>
          <w:color w:val="000000"/>
          <w:sz w:val="32"/>
          <w:szCs w:val="32"/>
        </w:rPr>
        <w:t>截止20</w:t>
      </w:r>
      <w:r>
        <w:rPr>
          <w:rFonts w:hint="eastAsia" w:ascii="仿宋" w:hAnsi="仿宋" w:eastAsia="仿宋"/>
          <w:color w:val="000000"/>
          <w:sz w:val="32"/>
          <w:szCs w:val="32"/>
        </w:rPr>
        <w:t>20</w:t>
      </w:r>
      <w:r>
        <w:rPr>
          <w:rFonts w:ascii="仿宋" w:hAnsi="仿宋" w:eastAsia="仿宋"/>
          <w:color w:val="000000"/>
          <w:sz w:val="32"/>
          <w:szCs w:val="32"/>
        </w:rPr>
        <w:t>年12月31日，本部门共有办公及业务用房</w:t>
      </w:r>
      <w:r>
        <w:rPr>
          <w:rFonts w:hint="eastAsia" w:ascii="仿宋" w:hAnsi="仿宋" w:eastAsia="仿宋"/>
          <w:color w:val="000000"/>
          <w:sz w:val="32"/>
          <w:szCs w:val="32"/>
          <w:lang w:val="en-US" w:eastAsia="zh-CN"/>
        </w:rPr>
        <w:t>185</w:t>
      </w:r>
      <w:r>
        <w:rPr>
          <w:rFonts w:ascii="仿宋" w:hAnsi="仿宋" w:eastAsia="仿宋"/>
          <w:color w:val="000000"/>
          <w:sz w:val="32"/>
          <w:szCs w:val="32"/>
        </w:rPr>
        <w:t>平方米；车辆0辆，其中一般公务用车0辆、一般执法执勤用车0辆、货币化用车0辆；单位价值200万以上大型设备0套。202</w:t>
      </w:r>
      <w:r>
        <w:rPr>
          <w:rFonts w:hint="eastAsia" w:ascii="仿宋" w:hAnsi="仿宋" w:eastAsia="仿宋"/>
          <w:color w:val="000000"/>
          <w:sz w:val="32"/>
          <w:szCs w:val="32"/>
        </w:rPr>
        <w:t>1</w:t>
      </w:r>
      <w:r>
        <w:rPr>
          <w:rFonts w:ascii="仿宋" w:hAnsi="仿宋" w:eastAsia="仿宋"/>
          <w:color w:val="000000"/>
          <w:sz w:val="32"/>
          <w:szCs w:val="32"/>
        </w:rPr>
        <w:t>年部门预算安排购置车辆0辆，预算安排购置价值200万以上大型设备0套。</w:t>
      </w:r>
    </w:p>
    <w:p>
      <w:pPr>
        <w:tabs>
          <w:tab w:val="left" w:pos="7560"/>
        </w:tabs>
        <w:adjustRightInd w:val="0"/>
        <w:snapToGrid w:val="0"/>
        <w:spacing w:line="560" w:lineRule="exact"/>
        <w:ind w:firstLine="640" w:firstLineChars="200"/>
        <w:rPr>
          <w:rFonts w:ascii="仿宋" w:hAnsi="仿宋" w:eastAsia="仿宋"/>
          <w:b/>
          <w:bCs/>
          <w:color w:val="000000"/>
          <w:sz w:val="32"/>
          <w:szCs w:val="32"/>
        </w:rPr>
      </w:pPr>
      <w:r>
        <w:rPr>
          <w:rFonts w:eastAsia="楷体_GB2312"/>
          <w:bCs/>
          <w:color w:val="000000"/>
          <w:sz w:val="32"/>
          <w:szCs w:val="32"/>
        </w:rPr>
        <w:t>（四）预算绩效目标：</w:t>
      </w:r>
      <w:r>
        <w:rPr>
          <w:rFonts w:ascii="仿宋" w:hAnsi="仿宋" w:eastAsia="仿宋"/>
          <w:color w:val="000000"/>
          <w:sz w:val="32"/>
          <w:szCs w:val="32"/>
        </w:rPr>
        <w:t>本部门整体支出和项目支出实行绩效目标管理，纳入20</w:t>
      </w:r>
      <w:r>
        <w:rPr>
          <w:rFonts w:hint="eastAsia" w:ascii="仿宋" w:hAnsi="仿宋" w:eastAsia="仿宋"/>
          <w:color w:val="000000"/>
          <w:sz w:val="32"/>
          <w:szCs w:val="32"/>
        </w:rPr>
        <w:t>21</w:t>
      </w:r>
      <w:r>
        <w:rPr>
          <w:rFonts w:ascii="仿宋" w:hAnsi="仿宋" w:eastAsia="仿宋"/>
          <w:color w:val="000000"/>
          <w:sz w:val="32"/>
          <w:szCs w:val="32"/>
        </w:rPr>
        <w:t>年部门整体支出绩效目标的金额为94.94万元，其中，基本支出94.94万元，项目支出</w:t>
      </w:r>
      <w:r>
        <w:rPr>
          <w:rFonts w:hint="eastAsia" w:ascii="仿宋" w:hAnsi="仿宋" w:eastAsia="仿宋"/>
          <w:color w:val="000000"/>
          <w:sz w:val="32"/>
          <w:szCs w:val="32"/>
        </w:rPr>
        <w:t>0</w:t>
      </w:r>
      <w:r>
        <w:rPr>
          <w:rFonts w:ascii="仿宋" w:hAnsi="仿宋" w:eastAsia="仿宋"/>
          <w:color w:val="000000"/>
          <w:sz w:val="32"/>
          <w:szCs w:val="32"/>
        </w:rPr>
        <w:t>万元（具体绩效目标详见附表）。</w:t>
      </w:r>
      <w:r>
        <w:rPr>
          <w:rFonts w:ascii="Calibri" w:hAnsi="Calibri" w:eastAsia="仿宋" w:cs="Calibri"/>
          <w:color w:val="000000"/>
          <w:sz w:val="32"/>
          <w:szCs w:val="32"/>
        </w:rPr>
        <w:t> </w:t>
      </w:r>
    </w:p>
    <w:p>
      <w:pPr>
        <w:tabs>
          <w:tab w:val="left" w:pos="7560"/>
        </w:tabs>
        <w:adjustRightInd w:val="0"/>
        <w:snapToGrid w:val="0"/>
        <w:spacing w:line="560" w:lineRule="exact"/>
        <w:ind w:firstLine="640" w:firstLineChars="200"/>
        <w:rPr>
          <w:rFonts w:eastAsia="楷体_GB2312"/>
          <w:bCs/>
          <w:color w:val="000000"/>
          <w:sz w:val="32"/>
          <w:szCs w:val="32"/>
        </w:rPr>
      </w:pPr>
      <w:r>
        <w:rPr>
          <w:rFonts w:eastAsia="楷体_GB2312"/>
          <w:bCs/>
          <w:color w:val="000000"/>
          <w:sz w:val="32"/>
          <w:szCs w:val="32"/>
        </w:rPr>
        <w:t>（五）“三公”经费预算：</w:t>
      </w:r>
    </w:p>
    <w:p>
      <w:pPr>
        <w:tabs>
          <w:tab w:val="left" w:pos="7560"/>
        </w:tabs>
        <w:adjustRightInd w:val="0"/>
        <w:snapToGrid w:val="0"/>
        <w:spacing w:line="560" w:lineRule="exact"/>
        <w:ind w:firstLine="640" w:firstLineChars="200"/>
        <w:rPr>
          <w:rFonts w:eastAsia="仿宋_GB2312"/>
          <w:b/>
          <w:bCs/>
          <w:color w:val="000000"/>
          <w:sz w:val="32"/>
          <w:szCs w:val="32"/>
        </w:rPr>
      </w:pPr>
      <w:r>
        <w:rPr>
          <w:rFonts w:eastAsia="仿宋_GB2312"/>
          <w:color w:val="000000"/>
          <w:sz w:val="32"/>
          <w:szCs w:val="32"/>
        </w:rPr>
        <w:t>20</w:t>
      </w:r>
      <w:r>
        <w:rPr>
          <w:rFonts w:hint="eastAsia" w:eastAsia="仿宋_GB2312"/>
          <w:color w:val="000000"/>
          <w:sz w:val="32"/>
          <w:szCs w:val="32"/>
        </w:rPr>
        <w:t>21</w:t>
      </w:r>
      <w:r>
        <w:rPr>
          <w:rFonts w:eastAsia="仿宋_GB2312"/>
          <w:color w:val="000000"/>
          <w:sz w:val="32"/>
          <w:szCs w:val="32"/>
        </w:rPr>
        <w:t>年“三公”经费预算数0.92万元，其中：公务接待费0.92万元、公务用车购置费0万元，公务用车运行费0万元、因公出国（境）费0万元。20</w:t>
      </w:r>
      <w:r>
        <w:rPr>
          <w:rFonts w:hint="eastAsia" w:eastAsia="仿宋_GB2312"/>
          <w:color w:val="000000"/>
          <w:sz w:val="32"/>
          <w:szCs w:val="32"/>
        </w:rPr>
        <w:t>21</w:t>
      </w:r>
      <w:r>
        <w:rPr>
          <w:rFonts w:eastAsia="仿宋_GB2312"/>
          <w:color w:val="000000"/>
          <w:sz w:val="32"/>
          <w:szCs w:val="32"/>
        </w:rPr>
        <w:t>年公务用车购置数0台</w:t>
      </w:r>
      <w:r>
        <w:rPr>
          <w:rFonts w:eastAsia="仿宋_GB2312"/>
          <w:b/>
          <w:bCs/>
          <w:color w:val="000000"/>
          <w:sz w:val="32"/>
          <w:szCs w:val="32"/>
        </w:rPr>
        <w:t>。</w:t>
      </w:r>
    </w:p>
    <w:p>
      <w:pPr>
        <w:tabs>
          <w:tab w:val="left" w:pos="7560"/>
        </w:tabs>
        <w:adjustRightInd w:val="0"/>
        <w:snapToGrid w:val="0"/>
        <w:spacing w:line="560" w:lineRule="exact"/>
        <w:ind w:firstLine="640" w:firstLineChars="200"/>
        <w:rPr>
          <w:rFonts w:eastAsia="仿宋_GB2312"/>
          <w:color w:val="000000"/>
          <w:sz w:val="32"/>
          <w:szCs w:val="32"/>
        </w:rPr>
      </w:pPr>
      <w:r>
        <w:rPr>
          <w:rFonts w:eastAsia="仿宋_GB2312"/>
          <w:color w:val="000000"/>
          <w:sz w:val="32"/>
          <w:szCs w:val="32"/>
        </w:rPr>
        <w:t>20</w:t>
      </w:r>
      <w:r>
        <w:rPr>
          <w:rFonts w:hint="eastAsia" w:eastAsia="仿宋_GB2312"/>
          <w:color w:val="000000"/>
          <w:sz w:val="32"/>
          <w:szCs w:val="32"/>
        </w:rPr>
        <w:t>21</w:t>
      </w:r>
      <w:r>
        <w:rPr>
          <w:rFonts w:eastAsia="仿宋_GB2312"/>
          <w:color w:val="000000"/>
          <w:sz w:val="32"/>
          <w:szCs w:val="32"/>
        </w:rPr>
        <w:t>年“三公”经费预算数比20</w:t>
      </w:r>
      <w:r>
        <w:rPr>
          <w:rFonts w:hint="eastAsia" w:eastAsia="仿宋_GB2312"/>
          <w:color w:val="000000"/>
          <w:sz w:val="32"/>
          <w:szCs w:val="32"/>
        </w:rPr>
        <w:t>20</w:t>
      </w:r>
      <w:r>
        <w:rPr>
          <w:rFonts w:eastAsia="仿宋_GB2312"/>
          <w:color w:val="000000"/>
          <w:sz w:val="32"/>
          <w:szCs w:val="32"/>
        </w:rPr>
        <w:t>年减少0.01万元，主要是因为</w:t>
      </w:r>
      <w:r>
        <w:rPr>
          <w:rFonts w:hint="eastAsia" w:eastAsia="仿宋_GB2312"/>
          <w:color w:val="000000"/>
          <w:sz w:val="32"/>
          <w:szCs w:val="32"/>
        </w:rPr>
        <w:t>压减了公务接待开支</w:t>
      </w:r>
      <w:r>
        <w:rPr>
          <w:rFonts w:eastAsia="仿宋_GB2312"/>
          <w:color w:val="000000"/>
          <w:sz w:val="32"/>
          <w:szCs w:val="32"/>
        </w:rPr>
        <w:t>。</w:t>
      </w:r>
    </w:p>
    <w:p>
      <w:pPr>
        <w:tabs>
          <w:tab w:val="left" w:pos="7560"/>
        </w:tabs>
        <w:adjustRightInd w:val="0"/>
        <w:snapToGrid w:val="0"/>
        <w:spacing w:line="560" w:lineRule="exact"/>
        <w:ind w:firstLine="640" w:firstLineChars="200"/>
        <w:rPr>
          <w:rFonts w:eastAsia="楷体_GB2312"/>
          <w:bCs/>
          <w:color w:val="000000"/>
          <w:sz w:val="32"/>
          <w:szCs w:val="32"/>
        </w:rPr>
      </w:pPr>
      <w:r>
        <w:rPr>
          <w:rFonts w:eastAsia="楷体_GB2312"/>
          <w:bCs/>
          <w:color w:val="000000"/>
          <w:sz w:val="32"/>
          <w:szCs w:val="32"/>
        </w:rPr>
        <w:t>（六）会议费、培训费预算：</w:t>
      </w:r>
    </w:p>
    <w:p>
      <w:pPr>
        <w:tabs>
          <w:tab w:val="left" w:pos="7560"/>
        </w:tabs>
        <w:adjustRightInd w:val="0"/>
        <w:snapToGrid w:val="0"/>
        <w:spacing w:line="560" w:lineRule="exact"/>
        <w:ind w:firstLine="640" w:firstLineChars="200"/>
        <w:rPr>
          <w:rFonts w:eastAsia="仿宋_GB2312"/>
          <w:color w:val="000000"/>
          <w:sz w:val="32"/>
          <w:szCs w:val="32"/>
        </w:rPr>
      </w:pPr>
      <w:r>
        <w:rPr>
          <w:rFonts w:eastAsia="仿宋_GB2312"/>
          <w:color w:val="000000"/>
          <w:sz w:val="32"/>
          <w:szCs w:val="32"/>
        </w:rPr>
        <w:t>20</w:t>
      </w:r>
      <w:r>
        <w:rPr>
          <w:rFonts w:hint="eastAsia" w:eastAsia="仿宋_GB2312"/>
          <w:color w:val="000000"/>
          <w:sz w:val="32"/>
          <w:szCs w:val="32"/>
        </w:rPr>
        <w:t>21</w:t>
      </w:r>
      <w:r>
        <w:rPr>
          <w:rFonts w:eastAsia="仿宋_GB2312"/>
          <w:color w:val="000000"/>
          <w:sz w:val="32"/>
          <w:szCs w:val="32"/>
        </w:rPr>
        <w:t>年预算安排会议费1.5万元，主要是</w:t>
      </w:r>
      <w:r>
        <w:rPr>
          <w:rFonts w:hint="eastAsia" w:eastAsia="仿宋_GB2312"/>
          <w:color w:val="000000"/>
          <w:sz w:val="32"/>
          <w:szCs w:val="32"/>
        </w:rPr>
        <w:t>换届会议开支，预计参会人数</w:t>
      </w:r>
      <w:r>
        <w:rPr>
          <w:rFonts w:hint="eastAsia" w:eastAsia="仿宋_GB2312"/>
          <w:color w:val="000000"/>
          <w:sz w:val="32"/>
          <w:szCs w:val="32"/>
          <w:lang w:val="en-US" w:eastAsia="zh-CN"/>
        </w:rPr>
        <w:t xml:space="preserve">  690</w:t>
      </w:r>
      <w:r>
        <w:rPr>
          <w:rFonts w:hint="eastAsia" w:eastAsia="仿宋_GB2312"/>
          <w:color w:val="000000"/>
          <w:sz w:val="32"/>
          <w:szCs w:val="32"/>
        </w:rPr>
        <w:t>人，开支</w:t>
      </w:r>
      <w:r>
        <w:rPr>
          <w:rFonts w:hint="eastAsia" w:eastAsia="仿宋_GB2312"/>
          <w:color w:val="000000"/>
          <w:sz w:val="32"/>
          <w:szCs w:val="32"/>
          <w:lang w:val="en-US" w:eastAsia="zh-CN"/>
        </w:rPr>
        <w:t xml:space="preserve">35.8 </w:t>
      </w:r>
      <w:r>
        <w:rPr>
          <w:rFonts w:hint="eastAsia" w:eastAsia="仿宋_GB2312"/>
          <w:color w:val="000000"/>
          <w:sz w:val="32"/>
          <w:szCs w:val="32"/>
        </w:rPr>
        <w:t>万元</w:t>
      </w:r>
      <w:r>
        <w:rPr>
          <w:rFonts w:eastAsia="仿宋_GB2312"/>
          <w:color w:val="000000"/>
          <w:sz w:val="32"/>
          <w:szCs w:val="32"/>
        </w:rPr>
        <w:t>。</w:t>
      </w:r>
    </w:p>
    <w:p>
      <w:pPr>
        <w:tabs>
          <w:tab w:val="left" w:pos="7560"/>
        </w:tabs>
        <w:adjustRightInd w:val="0"/>
        <w:snapToGrid w:val="0"/>
        <w:spacing w:line="560" w:lineRule="exact"/>
        <w:ind w:firstLine="640" w:firstLineChars="200"/>
        <w:rPr>
          <w:rFonts w:eastAsia="仿宋_GB2312"/>
          <w:color w:val="000000"/>
          <w:sz w:val="32"/>
          <w:szCs w:val="32"/>
        </w:rPr>
      </w:pPr>
      <w:r>
        <w:rPr>
          <w:rFonts w:eastAsia="仿宋_GB2312"/>
          <w:color w:val="000000"/>
          <w:sz w:val="32"/>
          <w:szCs w:val="32"/>
        </w:rPr>
        <w:t>20</w:t>
      </w:r>
      <w:r>
        <w:rPr>
          <w:rFonts w:hint="eastAsia" w:eastAsia="仿宋_GB2312"/>
          <w:color w:val="000000"/>
          <w:sz w:val="32"/>
          <w:szCs w:val="32"/>
        </w:rPr>
        <w:t>21</w:t>
      </w:r>
      <w:r>
        <w:rPr>
          <w:rFonts w:eastAsia="仿宋_GB2312"/>
          <w:color w:val="000000"/>
          <w:sz w:val="32"/>
          <w:szCs w:val="32"/>
        </w:rPr>
        <w:t>年预算安排培训费1.3万元。</w:t>
      </w:r>
    </w:p>
    <w:p>
      <w:pPr>
        <w:tabs>
          <w:tab w:val="left" w:pos="7560"/>
        </w:tabs>
        <w:adjustRightInd w:val="0"/>
        <w:snapToGrid w:val="0"/>
        <w:spacing w:line="560" w:lineRule="exact"/>
        <w:ind w:firstLine="640" w:firstLineChars="200"/>
        <w:rPr>
          <w:rFonts w:eastAsia="仿宋_GB2312"/>
          <w:b/>
          <w:bCs/>
          <w:color w:val="000000"/>
          <w:sz w:val="32"/>
          <w:szCs w:val="32"/>
        </w:rPr>
      </w:pPr>
      <w:r>
        <w:rPr>
          <w:rFonts w:eastAsia="楷体_GB2312"/>
          <w:bCs/>
          <w:color w:val="000000"/>
          <w:sz w:val="32"/>
          <w:szCs w:val="32"/>
        </w:rPr>
        <w:t>（七）其他事项。</w:t>
      </w:r>
    </w:p>
    <w:p>
      <w:pPr>
        <w:widowControl/>
        <w:shd w:val="clear" w:color="auto" w:fill="FFFFFF"/>
        <w:spacing w:line="560" w:lineRule="exact"/>
        <w:ind w:firstLine="627"/>
        <w:rPr>
          <w:rFonts w:eastAsia="仿宋_GB2312"/>
          <w:color w:val="000000"/>
          <w:kern w:val="0"/>
          <w:sz w:val="32"/>
          <w:szCs w:val="32"/>
        </w:rPr>
      </w:pPr>
      <w:r>
        <w:rPr>
          <w:rFonts w:eastAsia="仿宋_GB2312"/>
          <w:color w:val="000000"/>
          <w:kern w:val="0"/>
          <w:sz w:val="32"/>
          <w:szCs w:val="32"/>
        </w:rPr>
        <w:t>本单位2021年预算未安排政府性基金预算、纳入专户管理的非税收入预算、项目支出预算。</w:t>
      </w:r>
    </w:p>
    <w:p>
      <w:pPr>
        <w:widowControl/>
        <w:shd w:val="clear" w:color="auto" w:fill="FFFFFF"/>
        <w:spacing w:line="560" w:lineRule="exact"/>
        <w:ind w:firstLine="627"/>
        <w:rPr>
          <w:rFonts w:eastAsia="仿宋_GB2312"/>
          <w:color w:val="000000"/>
          <w:kern w:val="0"/>
          <w:sz w:val="32"/>
          <w:szCs w:val="32"/>
        </w:rPr>
      </w:pPr>
      <w:r>
        <w:rPr>
          <w:rFonts w:eastAsia="仿宋_GB2312"/>
          <w:color w:val="000000"/>
          <w:kern w:val="0"/>
          <w:sz w:val="32"/>
          <w:szCs w:val="32"/>
        </w:rPr>
        <w:t>本单位无门户网站</w:t>
      </w:r>
      <w:r>
        <w:rPr>
          <w:rFonts w:hint="eastAsia" w:eastAsia="仿宋_GB2312"/>
          <w:color w:val="000000"/>
          <w:kern w:val="0"/>
          <w:sz w:val="32"/>
          <w:szCs w:val="32"/>
        </w:rPr>
        <w:t>，在政府门户网站上统一公开</w:t>
      </w:r>
      <w:r>
        <w:rPr>
          <w:rFonts w:eastAsia="仿宋_GB2312"/>
          <w:color w:val="000000"/>
          <w:kern w:val="0"/>
          <w:sz w:val="32"/>
          <w:szCs w:val="32"/>
        </w:rPr>
        <w:t>。</w:t>
      </w:r>
    </w:p>
    <w:p>
      <w:pPr>
        <w:tabs>
          <w:tab w:val="left" w:pos="7560"/>
        </w:tabs>
        <w:adjustRightInd w:val="0"/>
        <w:snapToGrid w:val="0"/>
        <w:spacing w:line="560" w:lineRule="exact"/>
        <w:ind w:firstLine="643" w:firstLineChars="200"/>
        <w:rPr>
          <w:rFonts w:eastAsia="仿宋_GB2312"/>
          <w:b/>
          <w:bCs/>
          <w:sz w:val="32"/>
          <w:szCs w:val="32"/>
        </w:rPr>
      </w:pPr>
      <w:r>
        <w:rPr>
          <w:rFonts w:eastAsia="仿宋_GB2312"/>
          <w:b/>
          <w:bCs/>
          <w:sz w:val="32"/>
          <w:szCs w:val="32"/>
        </w:rPr>
        <w:t>名词解释：</w:t>
      </w:r>
    </w:p>
    <w:p>
      <w:pPr>
        <w:tabs>
          <w:tab w:val="left" w:pos="7560"/>
        </w:tabs>
        <w:adjustRightInd w:val="0"/>
        <w:snapToGrid w:val="0"/>
        <w:spacing w:line="560" w:lineRule="exact"/>
        <w:ind w:firstLine="643" w:firstLineChars="200"/>
        <w:rPr>
          <w:rFonts w:eastAsia="仿宋_GB2312"/>
          <w:sz w:val="32"/>
          <w:szCs w:val="32"/>
        </w:rPr>
      </w:pPr>
      <w:r>
        <w:rPr>
          <w:rFonts w:eastAsia="仿宋_GB2312"/>
          <w:b/>
          <w:sz w:val="32"/>
          <w:szCs w:val="32"/>
        </w:rPr>
        <w:t>1.一般公共预算:</w:t>
      </w:r>
      <w:r>
        <w:rPr>
          <w:rFonts w:eastAsia="仿宋_GB2312"/>
          <w:sz w:val="32"/>
          <w:szCs w:val="32"/>
        </w:rPr>
        <w:t xml:space="preserve"> 是对以税收为主体的财政收入，安排用于保障和改善民生、推动经济社会发展、维护国家安全、维持国家机构正常运转等方面的收支预算。一般公共预算收入即通常所指的“财政收入”，按照2015年1月1日起施行的新《预算法》，改称“一般公共预算收入”。全市一般公共预算收入由地方收入、上划中央收入、上划省级收入三部分构成。</w:t>
      </w:r>
    </w:p>
    <w:p>
      <w:pPr>
        <w:tabs>
          <w:tab w:val="left" w:pos="7560"/>
        </w:tabs>
        <w:adjustRightInd w:val="0"/>
        <w:snapToGrid w:val="0"/>
        <w:spacing w:line="560" w:lineRule="exact"/>
        <w:ind w:firstLine="643" w:firstLineChars="200"/>
        <w:rPr>
          <w:rFonts w:eastAsia="仿宋_GB2312"/>
          <w:sz w:val="32"/>
          <w:szCs w:val="32"/>
        </w:rPr>
      </w:pPr>
      <w:r>
        <w:rPr>
          <w:rFonts w:eastAsia="仿宋_GB2312"/>
          <w:b/>
          <w:sz w:val="32"/>
          <w:szCs w:val="32"/>
        </w:rPr>
        <w:t>2.政府性基金预算:</w:t>
      </w:r>
      <w:r>
        <w:rPr>
          <w:rFonts w:eastAsia="仿宋_GB2312"/>
          <w:sz w:val="32"/>
          <w:szCs w:val="32"/>
        </w:rPr>
        <w:t xml:space="preserve"> 是对依照法律、行政法规的规定在一定期限内向特定对象征收、收取或者以其他方式筹集的资金，专项用于特定公共事业发展的收支预算。应当根据基金项目收入情况和实际支出需要，按基金项目编制，做到以收定支。</w:t>
      </w:r>
    </w:p>
    <w:p>
      <w:pPr>
        <w:tabs>
          <w:tab w:val="left" w:pos="7560"/>
        </w:tabs>
        <w:adjustRightInd w:val="0"/>
        <w:snapToGrid w:val="0"/>
        <w:spacing w:line="560" w:lineRule="exact"/>
        <w:ind w:firstLine="643" w:firstLineChars="200"/>
        <w:rPr>
          <w:rFonts w:eastAsia="仿宋_GB2312"/>
          <w:sz w:val="32"/>
          <w:szCs w:val="32"/>
        </w:rPr>
      </w:pPr>
      <w:r>
        <w:rPr>
          <w:rFonts w:eastAsia="仿宋_GB2312"/>
          <w:b/>
          <w:sz w:val="32"/>
          <w:szCs w:val="32"/>
        </w:rPr>
        <w:t xml:space="preserve">3.国有资本经营预算: </w:t>
      </w:r>
      <w:r>
        <w:rPr>
          <w:rFonts w:eastAsia="仿宋_GB2312"/>
          <w:sz w:val="32"/>
          <w:szCs w:val="32"/>
        </w:rPr>
        <w:t>是对国有资本收益作出支出安排的收支预算。应当按照收支平衡的原则编制，不列赤字，并安排资金调入一般公共预算。</w:t>
      </w:r>
    </w:p>
    <w:p>
      <w:pPr>
        <w:tabs>
          <w:tab w:val="left" w:pos="7560"/>
        </w:tabs>
        <w:adjustRightInd w:val="0"/>
        <w:snapToGrid w:val="0"/>
        <w:spacing w:line="560" w:lineRule="exact"/>
        <w:ind w:firstLine="643" w:firstLineChars="200"/>
        <w:rPr>
          <w:rFonts w:eastAsia="仿宋_GB2312"/>
          <w:sz w:val="32"/>
          <w:szCs w:val="32"/>
        </w:rPr>
      </w:pPr>
      <w:r>
        <w:rPr>
          <w:rFonts w:eastAsia="仿宋_GB2312"/>
          <w:b/>
          <w:sz w:val="32"/>
          <w:szCs w:val="32"/>
        </w:rPr>
        <w:t>4.社会保险基金预算:</w:t>
      </w:r>
      <w:r>
        <w:rPr>
          <w:rFonts w:eastAsia="仿宋_GB2312"/>
          <w:sz w:val="32"/>
          <w:szCs w:val="32"/>
        </w:rPr>
        <w:t xml:space="preserve"> 是对社会保险缴款、一般公共预算安排和其他方式筹集的资金，专项用于社会保险的收支预算。应当按照统筹层次和社会保险项目分别编制，做到收支平衡。</w:t>
      </w:r>
    </w:p>
    <w:p>
      <w:pPr>
        <w:tabs>
          <w:tab w:val="left" w:pos="7560"/>
        </w:tabs>
        <w:adjustRightInd w:val="0"/>
        <w:snapToGrid w:val="0"/>
        <w:spacing w:line="560" w:lineRule="exact"/>
        <w:ind w:firstLine="643" w:firstLineChars="200"/>
        <w:rPr>
          <w:rFonts w:eastAsia="仿宋_GB2312"/>
          <w:sz w:val="32"/>
          <w:szCs w:val="32"/>
        </w:rPr>
      </w:pPr>
      <w:r>
        <w:rPr>
          <w:rFonts w:eastAsia="仿宋_GB2312"/>
          <w:b/>
          <w:sz w:val="32"/>
          <w:szCs w:val="32"/>
        </w:rPr>
        <w:t>5.基本支出：</w:t>
      </w:r>
      <w:r>
        <w:rPr>
          <w:rFonts w:eastAsia="仿宋_GB2312"/>
          <w:sz w:val="32"/>
          <w:szCs w:val="32"/>
        </w:rPr>
        <w:t>指为保障机构正常运转、完成日常工作任务而发生的人员支出和公用支出。</w:t>
      </w:r>
    </w:p>
    <w:p>
      <w:pPr>
        <w:tabs>
          <w:tab w:val="left" w:pos="7560"/>
        </w:tabs>
        <w:adjustRightInd w:val="0"/>
        <w:snapToGrid w:val="0"/>
        <w:spacing w:line="560" w:lineRule="exact"/>
        <w:ind w:firstLine="643" w:firstLineChars="200"/>
        <w:rPr>
          <w:rFonts w:eastAsia="仿宋_GB2312"/>
          <w:sz w:val="32"/>
          <w:szCs w:val="32"/>
        </w:rPr>
      </w:pPr>
      <w:r>
        <w:rPr>
          <w:rFonts w:eastAsia="仿宋_GB2312"/>
          <w:b/>
          <w:sz w:val="32"/>
          <w:szCs w:val="32"/>
        </w:rPr>
        <w:t>6.项目支出：</w:t>
      </w:r>
      <w:r>
        <w:rPr>
          <w:rFonts w:eastAsia="仿宋_GB2312"/>
          <w:sz w:val="32"/>
          <w:szCs w:val="32"/>
        </w:rPr>
        <w:t>指在基本支出之外为完成特定行政任务和事业发展目标所发生的支出。</w:t>
      </w:r>
    </w:p>
    <w:p>
      <w:pPr>
        <w:tabs>
          <w:tab w:val="left" w:pos="7560"/>
        </w:tabs>
        <w:adjustRightInd w:val="0"/>
        <w:snapToGrid w:val="0"/>
        <w:spacing w:line="560" w:lineRule="exact"/>
        <w:ind w:firstLine="643" w:firstLineChars="200"/>
        <w:rPr>
          <w:rFonts w:eastAsia="仿宋_GB2312"/>
          <w:sz w:val="32"/>
          <w:szCs w:val="32"/>
        </w:rPr>
      </w:pPr>
      <w:r>
        <w:rPr>
          <w:rFonts w:eastAsia="仿宋_GB2312"/>
          <w:b/>
          <w:sz w:val="32"/>
          <w:szCs w:val="32"/>
        </w:rPr>
        <w:t>7.“三公”经费：</w:t>
      </w:r>
      <w:r>
        <w:rPr>
          <w:rFonts w:eastAsia="仿宋_GB2312"/>
          <w:sz w:val="32"/>
          <w:szCs w:val="32"/>
        </w:rPr>
        <w:t>是指商品和服务支出中的因公出国（境）费用、公务用车购置及运行维护费和公务接待费。</w:t>
      </w:r>
      <w:r>
        <w:rPr>
          <w:rFonts w:eastAsia="仿宋_GB2312"/>
          <w:sz w:val="32"/>
          <w:szCs w:val="32"/>
        </w:rPr>
        <w:br w:type="textWrapping"/>
      </w:r>
      <w:r>
        <w:rPr>
          <w:rFonts w:eastAsia="仿宋_GB2312"/>
          <w:sz w:val="32"/>
          <w:szCs w:val="32"/>
        </w:rPr>
        <w:t>8.机关运行经费：机关运行经费指为保障行政单位（包括参照公务员法管理的事业单位）运行，用于购买货物和服务的各项资金。包括办公及印刷费、邮电费、差旅费、会议费、福利费、日常维修费、专用材料费及一般设备购置费、办公用房水电费、公务用车运行维护费及其他费用。</w:t>
      </w:r>
    </w:p>
    <w:p>
      <w:pPr>
        <w:tabs>
          <w:tab w:val="left" w:pos="7560"/>
        </w:tabs>
        <w:adjustRightInd w:val="0"/>
        <w:snapToGrid w:val="0"/>
        <w:spacing w:line="560" w:lineRule="exact"/>
        <w:ind w:firstLine="640" w:firstLineChars="200"/>
        <w:rPr>
          <w:rFonts w:eastAsia="仿宋_GB2312"/>
          <w:sz w:val="32"/>
          <w:szCs w:val="32"/>
        </w:rPr>
      </w:pPr>
    </w:p>
    <w:p/>
    <w:sectPr>
      <w:pgSz w:w="11906" w:h="16838"/>
      <w:pgMar w:top="1440" w:right="1800" w:bottom="1440" w:left="1800" w:header="708" w:footer="708" w:gutter="0"/>
      <w:cols w:space="708"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方正小标宋简体">
    <w:altName w:val="方正舒体"/>
    <w:panose1 w:val="03000509000000000000"/>
    <w:charset w:val="86"/>
    <w:family w:val="script"/>
    <w:pitch w:val="default"/>
    <w:sig w:usb0="00000000" w:usb1="00000000" w:usb2="00000000" w:usb3="00000000" w:csb0="00040000" w:csb1="00000000"/>
  </w:font>
  <w:font w:name="方正舒体">
    <w:panose1 w:val="02010601030101010101"/>
    <w:charset w:val="86"/>
    <w:family w:val="auto"/>
    <w:pitch w:val="default"/>
    <w:sig w:usb0="00000003" w:usb1="080E0000" w:usb2="00000000" w:usb3="00000000" w:csb0="00040000"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Calibri">
    <w:panose1 w:val="020F0502020204030204"/>
    <w:charset w:val="86"/>
    <w:family w:val="swiss"/>
    <w:pitch w:val="default"/>
    <w:sig w:usb0="E4002EFF" w:usb1="C0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76CAFD2"/>
    <w:multiLevelType w:val="singleLevel"/>
    <w:tmpl w:val="276CAFD2"/>
    <w:lvl w:ilvl="0" w:tentative="0">
      <w:start w:val="1"/>
      <w:numFmt w:val="chineseCounting"/>
      <w:suff w:val="space"/>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0"/>
  <w:bordersDoNotSurroundHeader w:val="1"/>
  <w:bordersDoNotSurroundFooter w:val="1"/>
  <w:documentProtection w:enforcement="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ZkNzQ4ZWFiZmQ4NTRhOWRkZTk3YTMwMjlmMmZhYmUifQ=="/>
  </w:docVars>
  <w:rsids>
    <w:rsidRoot w:val="00D84058"/>
    <w:rsid w:val="001737E9"/>
    <w:rsid w:val="00323B43"/>
    <w:rsid w:val="003720B1"/>
    <w:rsid w:val="003D37D8"/>
    <w:rsid w:val="004358AB"/>
    <w:rsid w:val="00492271"/>
    <w:rsid w:val="005553BA"/>
    <w:rsid w:val="00595093"/>
    <w:rsid w:val="006464CA"/>
    <w:rsid w:val="0077734D"/>
    <w:rsid w:val="008B7726"/>
    <w:rsid w:val="00B221AD"/>
    <w:rsid w:val="00BB581F"/>
    <w:rsid w:val="00CB1E75"/>
    <w:rsid w:val="00D84058"/>
    <w:rsid w:val="00E315E9"/>
    <w:rsid w:val="00EB3D5D"/>
    <w:rsid w:val="00F270D5"/>
    <w:rsid w:val="165E43CE"/>
    <w:rsid w:val="1B9D0ED2"/>
    <w:rsid w:val="268D7AA1"/>
    <w:rsid w:val="270E3B54"/>
    <w:rsid w:val="321D7B50"/>
    <w:rsid w:val="43B2279E"/>
    <w:rsid w:val="466C2595"/>
    <w:rsid w:val="483A0430"/>
    <w:rsid w:val="4E6F17B3"/>
    <w:rsid w:val="50AB5CE9"/>
    <w:rsid w:val="68B8383F"/>
    <w:rsid w:val="70E07C80"/>
    <w:rsid w:val="7BA75A4F"/>
    <w:rsid w:val="7E344DF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微软雅黑"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jc w:val="left"/>
    </w:pPr>
    <w:rPr>
      <w:sz w:val="18"/>
      <w:szCs w:val="18"/>
    </w:rPr>
  </w:style>
  <w:style w:type="paragraph" w:styleId="3">
    <w:name w:val="header"/>
    <w:basedOn w:val="1"/>
    <w:link w:val="6"/>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字符"/>
    <w:basedOn w:val="5"/>
    <w:link w:val="3"/>
    <w:qFormat/>
    <w:uiPriority w:val="99"/>
    <w:rPr>
      <w:rFonts w:ascii="Times New Roman" w:hAnsi="Times New Roman" w:eastAsia="宋体" w:cs="Times New Roman"/>
      <w:kern w:val="2"/>
      <w:sz w:val="18"/>
      <w:szCs w:val="18"/>
    </w:rPr>
  </w:style>
  <w:style w:type="character" w:customStyle="1" w:styleId="7">
    <w:name w:val="页脚 字符"/>
    <w:basedOn w:val="5"/>
    <w:link w:val="2"/>
    <w:qFormat/>
    <w:uiPriority w:val="99"/>
    <w:rPr>
      <w:rFonts w:ascii="Times New Roman" w:hAnsi="Times New Roman" w:eastAsia="宋体" w:cs="Times New Roman"/>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CDF27CC-DFCA-48F6-9E56-86CB29432CD4}">
  <ds:schemaRefs/>
</ds:datastoreItem>
</file>

<file path=docProps/app.xml><?xml version="1.0" encoding="utf-8"?>
<Properties xmlns="http://schemas.openxmlformats.org/officeDocument/2006/extended-properties" xmlns:vt="http://schemas.openxmlformats.org/officeDocument/2006/docPropsVTypes">
  <Template>Normal</Template>
  <Pages>9</Pages>
  <Words>2856</Words>
  <Characters>3019</Characters>
  <Lines>22</Lines>
  <Paragraphs>6</Paragraphs>
  <TotalTime>0</TotalTime>
  <ScaleCrop>false</ScaleCrop>
  <LinksUpToDate>false</LinksUpToDate>
  <CharactersWithSpaces>3047</CharactersWithSpaces>
  <Application>WPS Office_11.1.0.12358_F1E327BC-269C-435d-A152-05C5408002CA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2021-03-02T01:01:00Z</dcterms:created>
  <dc:creator>null,null,总收发</dc:creator>
  <cp:lastModifiedBy>Cherie</cp:lastModifiedBy>
  <dcterms:modified xsi:type="dcterms:W3CDTF">2022-09-12T06:22:41Z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2052-11.1.0.12358</vt:lpwstr>
  </property>
  <property fmtid="{D5CDD505-2E9C-101B-9397-08002B2CF9AE}" pid="3" name="ICV">
    <vt:lpwstr>0B68D8580D4F4A7595274217DB955055</vt:lpwstr>
  </property>
</Properties>
</file>