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醴陵市妇女联合会</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widowControl/>
        <w:shd w:val="clear" w:color="auto" w:fill="FFFFFF"/>
        <w:tabs>
          <w:tab w:val="left" w:pos="1800"/>
          <w:tab w:val="left" w:pos="2220"/>
        </w:tabs>
        <w:spacing w:line="560" w:lineRule="exact"/>
        <w:ind w:firstLine="72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醴陵市妇联为正科级单位，属全额拨款单位，是党和政府联系妇女儿童的桥梁和纽带，是全市妇女儿童利益的代表者和维护者。本单位主要职责是：</w:t>
      </w:r>
    </w:p>
    <w:p>
      <w:pPr>
        <w:widowControl/>
        <w:shd w:val="clear" w:color="auto" w:fill="FFFFFF"/>
        <w:tabs>
          <w:tab w:val="left" w:pos="1800"/>
          <w:tab w:val="left" w:pos="2220"/>
        </w:tabs>
        <w:spacing w:line="560" w:lineRule="exact"/>
        <w:ind w:firstLine="72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（一）团结、服务广大妇女，全面贯彻党的基本路线，紧密围绕市委、市政府的中心任务开展工作，动员、组织全市妇女群众参与经济社会发展，努力推进全市经济建设。</w:t>
      </w:r>
    </w:p>
    <w:p>
      <w:pPr>
        <w:widowControl/>
        <w:shd w:val="clear" w:color="auto" w:fill="FFFFFF"/>
        <w:tabs>
          <w:tab w:val="left" w:pos="1800"/>
          <w:tab w:val="left" w:pos="2220"/>
        </w:tabs>
        <w:spacing w:line="560" w:lineRule="exact"/>
        <w:ind w:firstLine="72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（二）宣传男女平等基本国策，维护妇女儿童合法权益。</w:t>
      </w:r>
    </w:p>
    <w:p>
      <w:pPr>
        <w:widowControl/>
        <w:shd w:val="clear" w:color="auto" w:fill="FFFFFF"/>
        <w:spacing w:line="560" w:lineRule="exact"/>
        <w:ind w:firstLine="640" w:firstLineChars="200"/>
        <w:outlineLvl w:val="0"/>
        <w:rPr>
          <w:rFonts w:eastAsia="仿宋_GB2312"/>
          <w:sz w:val="32"/>
          <w:szCs w:val="32"/>
        </w:rPr>
      </w:pPr>
      <w:r>
        <w:rPr>
          <w:rFonts w:hint="eastAsia" w:ascii="仿宋_GB2312" w:hAnsi="宋体" w:eastAsia="仿宋_GB2312" w:cs="宋体"/>
          <w:color w:val="000000"/>
          <w:kern w:val="0"/>
          <w:sz w:val="32"/>
          <w:szCs w:val="32"/>
        </w:rPr>
        <w:t>（三）加强妇联组织自身建设，指导建立健全各级妇联和基层妇女组织。</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widowControl/>
        <w:shd w:val="clear" w:color="auto" w:fill="FFFFFF"/>
        <w:spacing w:line="560" w:lineRule="exact"/>
        <w:ind w:firstLine="682"/>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5</w:t>
      </w:r>
      <w:r>
        <w:rPr>
          <w:rFonts w:eastAsia="仿宋_GB2312"/>
          <w:color w:val="000000"/>
          <w:sz w:val="32"/>
          <w:szCs w:val="32"/>
        </w:rPr>
        <w:t>人，实有人数</w:t>
      </w:r>
      <w:r>
        <w:rPr>
          <w:rFonts w:hint="eastAsia" w:eastAsia="仿宋_GB2312"/>
          <w:color w:val="000000"/>
          <w:sz w:val="32"/>
          <w:szCs w:val="32"/>
        </w:rPr>
        <w:t>5</w:t>
      </w:r>
      <w:r>
        <w:rPr>
          <w:rFonts w:eastAsia="仿宋_GB2312"/>
          <w:color w:val="000000"/>
          <w:sz w:val="32"/>
          <w:szCs w:val="32"/>
        </w:rPr>
        <w:t xml:space="preserve">人。内设股室  </w:t>
      </w:r>
      <w:r>
        <w:rPr>
          <w:rFonts w:hint="eastAsia" w:eastAsia="仿宋_GB2312"/>
          <w:color w:val="000000"/>
          <w:sz w:val="32"/>
          <w:szCs w:val="32"/>
        </w:rPr>
        <w:t>2</w:t>
      </w:r>
      <w:r>
        <w:rPr>
          <w:rFonts w:eastAsia="仿宋_GB2312"/>
          <w:color w:val="000000"/>
          <w:sz w:val="32"/>
          <w:szCs w:val="32"/>
        </w:rPr>
        <w:t>个（含</w:t>
      </w:r>
      <w:r>
        <w:rPr>
          <w:rFonts w:hint="eastAsia" w:eastAsia="仿宋_GB2312"/>
          <w:color w:val="000000"/>
          <w:sz w:val="32"/>
          <w:szCs w:val="32"/>
        </w:rPr>
        <w:t>1</w:t>
      </w:r>
      <w:r>
        <w:rPr>
          <w:rFonts w:eastAsia="仿宋_GB2312"/>
          <w:color w:val="000000"/>
          <w:sz w:val="32"/>
          <w:szCs w:val="32"/>
        </w:rPr>
        <w:t>个正科级单位），分别为：</w:t>
      </w:r>
      <w:r>
        <w:rPr>
          <w:rFonts w:hint="eastAsia" w:eastAsia="仿宋_GB2312"/>
          <w:color w:val="000000"/>
          <w:sz w:val="32"/>
          <w:szCs w:val="32"/>
        </w:rPr>
        <w:t>办公室、儿少办。</w:t>
      </w:r>
      <w:r>
        <w:rPr>
          <w:rFonts w:eastAsia="仿宋_GB2312"/>
          <w:kern w:val="0"/>
          <w:sz w:val="32"/>
          <w:szCs w:val="32"/>
        </w:rPr>
        <w:t>本部门无下属预算单位</w:t>
      </w:r>
      <w:r>
        <w:rPr>
          <w:rFonts w:hint="eastAsia" w:eastAsia="仿宋_GB2312"/>
          <w:kern w:val="0"/>
          <w:sz w:val="32"/>
          <w:szCs w:val="32"/>
        </w:rPr>
        <w:t>。</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widowControl/>
        <w:shd w:val="clear" w:color="auto" w:fill="FFFFFF"/>
        <w:spacing w:line="560" w:lineRule="exact"/>
        <w:ind w:firstLine="682"/>
        <w:rPr>
          <w:rFonts w:eastAsia="仿宋_GB2312"/>
          <w:kern w:val="0"/>
          <w:sz w:val="32"/>
          <w:szCs w:val="32"/>
        </w:rPr>
      </w:pPr>
      <w:r>
        <w:rPr>
          <w:rFonts w:eastAsia="仿宋_GB2312"/>
          <w:color w:val="000000"/>
          <w:sz w:val="32"/>
          <w:szCs w:val="32"/>
        </w:rPr>
        <w:t>2021</w:t>
      </w:r>
      <w:r>
        <w:rPr>
          <w:rFonts w:eastAsia="仿宋_GB2312"/>
          <w:color w:val="000000"/>
          <w:kern w:val="0"/>
          <w:sz w:val="32"/>
          <w:szCs w:val="32"/>
        </w:rPr>
        <w:t>年部门预算编报范围包括局机关。收入包括公共预算；支出既包括保障局机关基本运行的经费，也包括</w:t>
      </w:r>
      <w:r>
        <w:rPr>
          <w:rFonts w:hint="eastAsia" w:eastAsia="仿宋_GB2312"/>
          <w:color w:val="000000"/>
          <w:kern w:val="0"/>
          <w:sz w:val="32"/>
          <w:szCs w:val="32"/>
        </w:rPr>
        <w:t>三八活动</w:t>
      </w:r>
      <w:r>
        <w:rPr>
          <w:rFonts w:eastAsia="仿宋_GB2312"/>
          <w:color w:val="000000"/>
          <w:kern w:val="0"/>
          <w:sz w:val="32"/>
          <w:szCs w:val="32"/>
        </w:rPr>
        <w:t>等专</w:t>
      </w:r>
      <w:r>
        <w:rPr>
          <w:rFonts w:eastAsia="仿宋_GB2312"/>
          <w:kern w:val="0"/>
          <w:sz w:val="32"/>
          <w:szCs w:val="32"/>
        </w:rPr>
        <w:t>项经费。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91.34</w:t>
      </w:r>
      <w:r>
        <w:rPr>
          <w:rFonts w:eastAsia="仿宋_GB2312"/>
          <w:color w:val="000000"/>
          <w:sz w:val="32"/>
          <w:szCs w:val="32"/>
        </w:rPr>
        <w:t>万元，其中，一般公共预算拨款</w:t>
      </w:r>
      <w:r>
        <w:rPr>
          <w:rFonts w:hint="eastAsia" w:eastAsia="仿宋_GB2312"/>
          <w:color w:val="000000"/>
          <w:sz w:val="32"/>
          <w:szCs w:val="32"/>
        </w:rPr>
        <w:t>91.34</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91.34</w:t>
      </w:r>
      <w:r>
        <w:rPr>
          <w:rFonts w:eastAsia="仿宋_GB2312"/>
          <w:color w:val="000000"/>
          <w:sz w:val="32"/>
          <w:szCs w:val="32"/>
        </w:rPr>
        <w:t>万元，其中，一般公共服务支出</w:t>
      </w:r>
      <w:r>
        <w:rPr>
          <w:rFonts w:hint="eastAsia" w:eastAsia="仿宋_GB2312"/>
          <w:color w:val="000000"/>
          <w:sz w:val="32"/>
          <w:szCs w:val="32"/>
        </w:rPr>
        <w:t>89.14</w:t>
      </w:r>
      <w:r>
        <w:rPr>
          <w:rFonts w:eastAsia="仿宋_GB2312"/>
          <w:color w:val="000000"/>
          <w:sz w:val="32"/>
          <w:szCs w:val="32"/>
        </w:rPr>
        <w:t>万元，</w:t>
      </w:r>
      <w:r>
        <w:rPr>
          <w:rFonts w:hint="eastAsia" w:eastAsia="仿宋_GB2312"/>
          <w:color w:val="000000"/>
          <w:sz w:val="32"/>
          <w:szCs w:val="32"/>
        </w:rPr>
        <w:t>卫生健康支出2.2</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73.73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lang w:val="en-US" w:eastAsia="zh-CN"/>
        </w:rPr>
        <w:t>工资福利支出49.56</w:t>
      </w:r>
      <w:r>
        <w:rPr>
          <w:rFonts w:eastAsia="仿宋_GB2312"/>
          <w:color w:val="000000"/>
          <w:sz w:val="32"/>
          <w:szCs w:val="32"/>
        </w:rPr>
        <w:t>万元、</w:t>
      </w:r>
      <w:r>
        <w:rPr>
          <w:rFonts w:hint="eastAsia" w:eastAsia="仿宋_GB2312"/>
          <w:color w:val="000000"/>
          <w:sz w:val="32"/>
          <w:szCs w:val="32"/>
          <w:lang w:val="en-US" w:eastAsia="zh-CN"/>
        </w:rPr>
        <w:t>一般商品和服务支出4.37</w:t>
      </w:r>
      <w:r>
        <w:rPr>
          <w:rFonts w:eastAsia="仿宋_GB2312"/>
          <w:color w:val="000000"/>
          <w:sz w:val="32"/>
          <w:szCs w:val="32"/>
        </w:rPr>
        <w:t>万元、</w:t>
      </w:r>
      <w:r>
        <w:rPr>
          <w:rFonts w:hint="eastAsia" w:eastAsia="仿宋_GB2312"/>
          <w:color w:val="000000"/>
          <w:sz w:val="32"/>
          <w:szCs w:val="32"/>
        </w:rPr>
        <w:t>工作性专项19.8万元</w:t>
      </w:r>
      <w:r>
        <w:rPr>
          <w:rFonts w:eastAsia="仿宋_GB2312"/>
          <w:color w:val="000000"/>
          <w:sz w:val="32"/>
          <w:szCs w:val="32"/>
        </w:rPr>
        <w:t>。</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17.61</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三八活动</w:t>
      </w:r>
      <w:r>
        <w:rPr>
          <w:rFonts w:eastAsia="仿宋_GB2312"/>
          <w:color w:val="000000"/>
          <w:sz w:val="32"/>
          <w:szCs w:val="32"/>
        </w:rPr>
        <w:t>专项</w:t>
      </w:r>
      <w:r>
        <w:rPr>
          <w:rFonts w:hint="eastAsia" w:eastAsia="仿宋_GB2312"/>
          <w:color w:val="000000"/>
          <w:sz w:val="32"/>
          <w:szCs w:val="32"/>
        </w:rPr>
        <w:t>17.61</w:t>
      </w:r>
      <w:r>
        <w:rPr>
          <w:rFonts w:eastAsia="仿宋_GB2312"/>
          <w:color w:val="000000"/>
          <w:sz w:val="32"/>
          <w:szCs w:val="32"/>
        </w:rPr>
        <w:t>万元。主要用于</w:t>
      </w:r>
      <w:r>
        <w:rPr>
          <w:rFonts w:hint="eastAsia" w:eastAsia="仿宋_GB2312"/>
          <w:color w:val="000000"/>
          <w:sz w:val="32"/>
          <w:szCs w:val="32"/>
        </w:rPr>
        <w:t>开展三八节系列活动。</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91.34</w:t>
      </w:r>
      <w:r>
        <w:rPr>
          <w:rFonts w:eastAsia="仿宋_GB2312"/>
          <w:color w:val="000000"/>
          <w:sz w:val="32"/>
          <w:szCs w:val="32"/>
        </w:rPr>
        <w:t>万元，比上年增加</w:t>
      </w:r>
      <w:r>
        <w:rPr>
          <w:rFonts w:hint="eastAsia" w:eastAsia="仿宋_GB2312"/>
          <w:color w:val="000000"/>
          <w:sz w:val="32"/>
          <w:szCs w:val="32"/>
        </w:rPr>
        <w:t>2.5</w:t>
      </w:r>
      <w:r>
        <w:rPr>
          <w:rFonts w:eastAsia="仿宋_GB2312"/>
          <w:color w:val="000000"/>
          <w:sz w:val="32"/>
          <w:szCs w:val="32"/>
        </w:rPr>
        <w:t>万元，主要原因是</w:t>
      </w:r>
      <w:r>
        <w:rPr>
          <w:rFonts w:hint="eastAsia" w:eastAsia="仿宋_GB2312"/>
          <w:color w:val="000000"/>
          <w:sz w:val="32"/>
          <w:szCs w:val="32"/>
        </w:rPr>
        <w:t>因人员职务与职级晋升，工资晋级晋档等原因，</w:t>
      </w:r>
      <w:r>
        <w:rPr>
          <w:rFonts w:eastAsia="仿宋_GB2312"/>
          <w:color w:val="000000"/>
          <w:sz w:val="32"/>
          <w:szCs w:val="32"/>
        </w:rPr>
        <w:t>造成人员经费和运转经费上涨等</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24.17</w:t>
      </w:r>
      <w:r>
        <w:rPr>
          <w:rFonts w:eastAsia="仿宋_GB2312"/>
          <w:color w:val="000000"/>
          <w:sz w:val="32"/>
          <w:szCs w:val="32"/>
        </w:rPr>
        <w:t>万元，比上年度预算增加</w:t>
      </w:r>
      <w:r>
        <w:rPr>
          <w:rFonts w:hint="eastAsia" w:eastAsia="仿宋_GB2312"/>
          <w:color w:val="000000"/>
          <w:sz w:val="32"/>
          <w:szCs w:val="32"/>
        </w:rPr>
        <w:t>0.6</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一般商品服务支出增加。</w:t>
      </w:r>
    </w:p>
    <w:p>
      <w:pPr>
        <w:tabs>
          <w:tab w:val="left" w:pos="7560"/>
        </w:tabs>
        <w:adjustRightInd w:val="0"/>
        <w:snapToGrid w:val="0"/>
        <w:spacing w:line="560" w:lineRule="exact"/>
        <w:ind w:firstLine="640" w:firstLineChars="200"/>
        <w:rPr>
          <w:rFonts w:eastAsia="仿宋_GB2312"/>
          <w:kern w:val="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15.3</w:t>
      </w:r>
      <w:r>
        <w:rPr>
          <w:rFonts w:eastAsia="仿宋_GB2312"/>
          <w:color w:val="000000"/>
          <w:sz w:val="32"/>
          <w:szCs w:val="32"/>
        </w:rPr>
        <w:t>万元。包含：</w:t>
      </w:r>
      <w:r>
        <w:rPr>
          <w:rFonts w:hint="eastAsia" w:eastAsia="仿宋_GB2312"/>
          <w:kern w:val="0"/>
          <w:sz w:val="32"/>
          <w:szCs w:val="32"/>
        </w:rPr>
        <w:t>政府采购货物3.3万元、</w:t>
      </w:r>
      <w:r>
        <w:rPr>
          <w:rFonts w:hint="eastAsia" w:eastAsia="仿宋_GB2312"/>
          <w:kern w:val="0"/>
          <w:sz w:val="32"/>
          <w:szCs w:val="32"/>
          <w:lang w:val="en-US" w:eastAsia="zh-CN"/>
        </w:rPr>
        <w:t>政府</w:t>
      </w:r>
      <w:r>
        <w:rPr>
          <w:rFonts w:hint="eastAsia" w:eastAsia="仿宋_GB2312"/>
          <w:kern w:val="0"/>
          <w:sz w:val="32"/>
          <w:szCs w:val="32"/>
        </w:rPr>
        <w:t>采购服务12万元、大院维修、绿化服务0万元、购买物业管理服务0万元。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96</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91.34</w:t>
      </w:r>
      <w:r>
        <w:rPr>
          <w:rFonts w:eastAsia="仿宋_GB2312"/>
          <w:color w:val="000000"/>
          <w:sz w:val="32"/>
          <w:szCs w:val="32"/>
        </w:rPr>
        <w:t>万元，其中，基本支出</w:t>
      </w:r>
      <w:r>
        <w:rPr>
          <w:rFonts w:hint="eastAsia" w:eastAsia="仿宋_GB2312"/>
          <w:color w:val="000000"/>
          <w:sz w:val="32"/>
          <w:szCs w:val="32"/>
        </w:rPr>
        <w:t>73.73</w:t>
      </w:r>
      <w:r>
        <w:rPr>
          <w:rFonts w:eastAsia="仿宋_GB2312"/>
          <w:color w:val="000000"/>
          <w:sz w:val="32"/>
          <w:szCs w:val="32"/>
        </w:rPr>
        <w:t xml:space="preserve">万元，项目支出 </w:t>
      </w:r>
      <w:r>
        <w:rPr>
          <w:rFonts w:hint="eastAsia" w:eastAsia="仿宋_GB2312"/>
          <w:color w:val="000000"/>
          <w:sz w:val="32"/>
          <w:szCs w:val="32"/>
        </w:rPr>
        <w:t>17.61</w:t>
      </w:r>
      <w:r>
        <w:rPr>
          <w:rFonts w:eastAsia="仿宋_GB2312"/>
          <w:color w:val="000000"/>
          <w:sz w:val="32"/>
          <w:szCs w:val="32"/>
        </w:rPr>
        <w:t xml:space="preserve">  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w:t>
      </w:r>
      <w:bookmarkStart w:id="0" w:name="_GoBack"/>
      <w:bookmarkEnd w:id="0"/>
      <w:r>
        <w:rPr>
          <w:rFonts w:eastAsia="楷体_GB2312"/>
          <w:bCs/>
          <w:color w:val="000000"/>
          <w:sz w:val="32"/>
          <w:szCs w:val="32"/>
        </w:rPr>
        <w:t>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1.6</w:t>
      </w:r>
      <w:r>
        <w:rPr>
          <w:rFonts w:eastAsia="仿宋_GB2312"/>
          <w:color w:val="000000"/>
          <w:sz w:val="32"/>
          <w:szCs w:val="32"/>
        </w:rPr>
        <w:t>万元，其中：公务接待费</w:t>
      </w:r>
      <w:r>
        <w:rPr>
          <w:rFonts w:hint="eastAsia" w:eastAsia="仿宋_GB2312"/>
          <w:color w:val="000000"/>
          <w:sz w:val="32"/>
          <w:szCs w:val="32"/>
        </w:rPr>
        <w:t>1.6</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rPr>
        <w:t>无增减</w:t>
      </w:r>
      <w:r>
        <w:rPr>
          <w:rFonts w:eastAsia="仿宋_GB2312"/>
          <w:color w:val="000000"/>
          <w:sz w:val="32"/>
          <w:szCs w:val="32"/>
        </w:rPr>
        <w:t>。</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（七）其他事项。</w:t>
      </w:r>
    </w:p>
    <w:p>
      <w:pPr>
        <w:widowControl/>
        <w:shd w:val="clear" w:color="auto" w:fill="FFFFFF"/>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1.本单位2021年预算未安排对个人和家庭的补助。</w:t>
      </w:r>
    </w:p>
    <w:p>
      <w:pPr>
        <w:widowControl/>
        <w:shd w:val="clear" w:color="auto" w:fill="FFFFFF"/>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2.本单位2021年预算未安排政府性基金预算。</w:t>
      </w:r>
    </w:p>
    <w:p>
      <w:pPr>
        <w:widowControl/>
        <w:shd w:val="clear" w:color="auto" w:fill="FFFFFF"/>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3.本单位2021年预算未安排纳入专户管理的非税收入拨款部门支出。</w:t>
      </w:r>
    </w:p>
    <w:p>
      <w:pPr>
        <w:widowControl/>
        <w:shd w:val="clear" w:color="auto" w:fill="FFFFFF"/>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4.本单位无门户网站，在政府门户网站上统一公开。</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hint="eastAsia" w:eastAsia="仿宋_GB2312"/>
          <w:sz w:val="32"/>
          <w:szCs w:val="32"/>
        </w:rPr>
        <w:t xml:space="preserve">        </w:t>
      </w: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zZkNzQ4ZWFiZmQ4NTRhOWRkZTk3YTMwMjlmMmZhYmUifQ=="/>
  </w:docVars>
  <w:rsids>
    <w:rsidRoot w:val="00D84058"/>
    <w:rsid w:val="00323B43"/>
    <w:rsid w:val="003D37D8"/>
    <w:rsid w:val="00413981"/>
    <w:rsid w:val="004358AB"/>
    <w:rsid w:val="004B316D"/>
    <w:rsid w:val="005553BA"/>
    <w:rsid w:val="006464CA"/>
    <w:rsid w:val="0077734D"/>
    <w:rsid w:val="008B7726"/>
    <w:rsid w:val="00B221AD"/>
    <w:rsid w:val="00CB1E75"/>
    <w:rsid w:val="00D84058"/>
    <w:rsid w:val="00E315E9"/>
    <w:rsid w:val="028E1575"/>
    <w:rsid w:val="075305CA"/>
    <w:rsid w:val="0ADC2129"/>
    <w:rsid w:val="0DCF376C"/>
    <w:rsid w:val="2BF617E5"/>
    <w:rsid w:val="37390B45"/>
    <w:rsid w:val="611F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33E9-4214-46F6-BDAC-DD23F38F2E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2648</Words>
  <Characters>2823</Characters>
  <Lines>2</Lines>
  <Paragraphs>5</Paragraphs>
  <TotalTime>17</TotalTime>
  <ScaleCrop>false</ScaleCrop>
  <LinksUpToDate>false</LinksUpToDate>
  <CharactersWithSpaces>2849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2022-09-12T05:24:24Z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B595AD79AE7E497A874FFD26AFA64209</vt:lpwstr>
  </property>
</Properties>
</file>