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rPr>
        <w:t>醴陵市发展和改革</w:t>
      </w:r>
      <w:r>
        <w:rPr>
          <w:rFonts w:eastAsia="方正小标宋简体"/>
          <w:bCs/>
          <w:color w:val="000000"/>
          <w:sz w:val="44"/>
          <w:szCs w:val="44"/>
        </w:rPr>
        <w:t>局2021年部门预算公开说明</w:t>
      </w:r>
    </w:p>
    <w:p>
      <w:pPr>
        <w:tabs>
          <w:tab w:val="left" w:pos="7560"/>
        </w:tabs>
        <w:adjustRightInd w:val="0"/>
        <w:snapToGrid w:val="0"/>
        <w:spacing w:line="560" w:lineRule="exact"/>
        <w:rPr>
          <w:rFonts w:eastAsia="楷体_GB2312"/>
          <w:b/>
          <w:color w:val="000000"/>
          <w:sz w:val="32"/>
          <w:szCs w:val="32"/>
        </w:rPr>
      </w:pPr>
    </w:p>
    <w:p>
      <w:pPr>
        <w:tabs>
          <w:tab w:val="left" w:pos="7560"/>
        </w:tabs>
        <w:adjustRightInd w:val="0"/>
        <w:snapToGrid w:val="0"/>
        <w:spacing w:line="560" w:lineRule="exac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hAnsi="黑体" w:eastAsia="黑体"/>
          <w:bCs/>
          <w:sz w:val="32"/>
          <w:szCs w:val="32"/>
        </w:rPr>
        <w:t>部门预算公开信息目录</w:t>
      </w:r>
    </w:p>
    <w:p>
      <w:pPr>
        <w:tabs>
          <w:tab w:val="left" w:pos="7560"/>
        </w:tabs>
        <w:adjustRightInd w:val="0"/>
        <w:snapToGrid w:val="0"/>
        <w:spacing w:line="560" w:lineRule="exact"/>
        <w:ind w:firstLine="640" w:firstLineChars="200"/>
        <w:rPr>
          <w:rFonts w:hAnsi="仿宋_GB2312" w:eastAsia="仿宋_GB2312"/>
          <w:sz w:val="32"/>
          <w:szCs w:val="32"/>
        </w:rPr>
      </w:pPr>
      <w:r>
        <w:rPr>
          <w:rFonts w:hAnsi="仿宋_GB2312" w:eastAsia="仿宋_GB2312"/>
          <w:sz w:val="32"/>
          <w:szCs w:val="32"/>
        </w:rPr>
        <w:t>一、部门职能职责</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（二十九）部门整体支出绩效目标表</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（三十）单位专项支出方向绩效目标表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hAnsi="黑体" w:eastAsia="黑体"/>
          <w:sz w:val="32"/>
          <w:szCs w:val="32"/>
        </w:rPr>
      </w:pPr>
    </w:p>
    <w:p>
      <w:pPr>
        <w:tabs>
          <w:tab w:val="left" w:pos="7560"/>
        </w:tabs>
        <w:adjustRightInd w:val="0"/>
        <w:snapToGrid w:val="0"/>
        <w:spacing w:line="560" w:lineRule="exact"/>
        <w:ind w:firstLine="640" w:firstLineChars="200"/>
        <w:rPr>
          <w:rFonts w:eastAsia="黑体"/>
          <w:sz w:val="32"/>
          <w:szCs w:val="32"/>
        </w:rPr>
      </w:pPr>
      <w:r>
        <w:rPr>
          <w:rFonts w:hAnsi="黑体" w:eastAsia="黑体"/>
          <w:sz w:val="32"/>
          <w:szCs w:val="32"/>
        </w:rPr>
        <w:t>一、</w:t>
      </w:r>
      <w:r>
        <w:rPr>
          <w:rFonts w:eastAsia="黑体"/>
          <w:sz w:val="32"/>
          <w:szCs w:val="32"/>
        </w:rPr>
        <w:t xml:space="preserve"> </w:t>
      </w:r>
      <w:r>
        <w:rPr>
          <w:rFonts w:hAnsi="黑体" w:eastAsia="黑体"/>
          <w:sz w:val="32"/>
          <w:szCs w:val="32"/>
        </w:rPr>
        <w:t>部门职能职责</w:t>
      </w:r>
    </w:p>
    <w:p>
      <w:pPr>
        <w:pStyle w:val="4"/>
        <w:spacing w:before="0" w:beforeAutospacing="0" w:after="0" w:afterAutospacing="0" w:line="315" w:lineRule="atLeast"/>
        <w:ind w:firstLine="646"/>
        <w:jc w:val="both"/>
        <w:rPr>
          <w:rFonts w:hint="default" w:eastAsia="仿宋_GB2312"/>
          <w:bCs/>
          <w:color w:val="000000"/>
          <w:kern w:val="2"/>
          <w:sz w:val="32"/>
          <w:szCs w:val="32"/>
        </w:rPr>
      </w:pPr>
      <w:r>
        <w:rPr>
          <w:rFonts w:eastAsia="仿宋_GB2312"/>
          <w:bCs/>
          <w:color w:val="000000"/>
          <w:kern w:val="2"/>
          <w:sz w:val="32"/>
          <w:szCs w:val="32"/>
        </w:rPr>
        <w:t>（一）拟订并组织实施全市国民经济和社会发展战略、中长期规划和年度计划，统筹协调相关总体规划、区域规划与专项规划；制定全市国民经济发展、价格总水平调控和优化重大经济结构的目标、措施，提出综合运用各种经济手段的建议，受市人民政府委托向市人民代表大会提交国民经济和社会发展计划的报告。</w:t>
      </w:r>
    </w:p>
    <w:p>
      <w:pPr>
        <w:pStyle w:val="4"/>
        <w:spacing w:before="0" w:beforeAutospacing="0" w:after="0" w:afterAutospacing="0" w:line="315" w:lineRule="atLeast"/>
        <w:ind w:firstLine="646"/>
        <w:jc w:val="both"/>
        <w:rPr>
          <w:rFonts w:hint="default" w:eastAsia="仿宋_GB2312"/>
          <w:bCs/>
          <w:color w:val="000000"/>
          <w:kern w:val="2"/>
          <w:sz w:val="32"/>
          <w:szCs w:val="32"/>
        </w:rPr>
      </w:pPr>
      <w:r>
        <w:rPr>
          <w:rFonts w:eastAsia="仿宋_GB2312"/>
          <w:bCs/>
          <w:color w:val="000000"/>
          <w:kern w:val="2"/>
          <w:sz w:val="32"/>
          <w:szCs w:val="32"/>
        </w:rPr>
        <w:t>（二）负责全市宏观经济运行、总量平衡、经济安全和总体产业安全等重要问题，提出落实国家宏观调控政策的建议，协调解决经济运行中的重大问题，调节国民经济运行。</w:t>
      </w:r>
    </w:p>
    <w:p>
      <w:pPr>
        <w:pStyle w:val="4"/>
        <w:spacing w:before="0" w:beforeAutospacing="0" w:after="0" w:afterAutospacing="0" w:line="315" w:lineRule="atLeast"/>
        <w:ind w:firstLine="646"/>
        <w:jc w:val="both"/>
        <w:rPr>
          <w:rFonts w:hint="default" w:eastAsia="仿宋_GB2312"/>
          <w:bCs/>
          <w:color w:val="000000"/>
          <w:kern w:val="2"/>
          <w:sz w:val="32"/>
          <w:szCs w:val="32"/>
        </w:rPr>
      </w:pPr>
      <w:r>
        <w:rPr>
          <w:rFonts w:eastAsia="仿宋_GB2312"/>
          <w:bCs/>
          <w:color w:val="000000"/>
          <w:kern w:val="2"/>
          <w:sz w:val="32"/>
          <w:szCs w:val="32"/>
        </w:rPr>
        <w:t>（三）会同有关部门完善宏观调控协调机制，统筹推进产业、创业等投资基金的发展和制度建设；负责企业债券发行的初审和申报工作，监督发债资金使用。</w:t>
      </w:r>
    </w:p>
    <w:p>
      <w:pPr>
        <w:pStyle w:val="4"/>
        <w:spacing w:before="0" w:beforeAutospacing="0" w:after="0" w:afterAutospacing="0" w:line="315" w:lineRule="atLeast"/>
        <w:ind w:firstLine="646"/>
        <w:jc w:val="both"/>
        <w:rPr>
          <w:rFonts w:hint="default" w:eastAsia="仿宋_GB2312"/>
          <w:bCs/>
          <w:color w:val="000000"/>
          <w:kern w:val="2"/>
          <w:sz w:val="32"/>
          <w:szCs w:val="32"/>
        </w:rPr>
      </w:pPr>
      <w:r>
        <w:rPr>
          <w:rFonts w:eastAsia="仿宋_GB2312"/>
          <w:bCs/>
          <w:color w:val="000000"/>
          <w:kern w:val="2"/>
          <w:sz w:val="32"/>
          <w:szCs w:val="32"/>
        </w:rPr>
        <w:t>（四）负责组织推进和综合协调全市经济体制改革，负责全市经济体制改革和对外开放重大问题；组织拟订综合性经济体制改革方案，协调有关专项经济体制改革方案；参与协调推进“两型”社会建设综合配套改革试验区工作。</w:t>
      </w:r>
    </w:p>
    <w:p>
      <w:pPr>
        <w:pStyle w:val="4"/>
        <w:spacing w:before="0" w:beforeAutospacing="0" w:after="0" w:afterAutospacing="0" w:line="315" w:lineRule="atLeast"/>
        <w:ind w:firstLine="646"/>
        <w:jc w:val="both"/>
        <w:rPr>
          <w:rFonts w:hint="default" w:eastAsia="仿宋_GB2312"/>
          <w:bCs/>
          <w:color w:val="000000"/>
          <w:kern w:val="2"/>
          <w:sz w:val="32"/>
          <w:szCs w:val="32"/>
        </w:rPr>
      </w:pPr>
      <w:r>
        <w:rPr>
          <w:rFonts w:eastAsia="仿宋_GB2312"/>
          <w:bCs/>
          <w:color w:val="000000"/>
          <w:kern w:val="2"/>
          <w:sz w:val="32"/>
          <w:szCs w:val="32"/>
        </w:rPr>
        <w:t>（五）拟订全市全社会固定资产投资总规模和投资结构的调控目标及措施；统筹安排市级财政性建设资金和投资项目，编制下达政府投资项目年度计划；按规定权限审批、核准、审核、备案跨地区、跨行业、跨领域和涉及综合平衡、重大布局的重大建设项目、外资项目、境外投资项目；制定全市利用外资和境外投资的规划、总量平衡和结构优化的目标和措施；监督国外贷款建设资金的使用，引导民间投资方向；负责提出市重点建设项目计划；承担政府投资非农项目代建制实施的指导、协调和监督管理工作；负责组织对政府投资项目进行评审。</w:t>
      </w:r>
    </w:p>
    <w:p>
      <w:pPr>
        <w:pStyle w:val="4"/>
        <w:spacing w:before="0" w:beforeAutospacing="0" w:after="0" w:afterAutospacing="0" w:line="315" w:lineRule="atLeast"/>
        <w:ind w:firstLine="646"/>
        <w:jc w:val="both"/>
        <w:rPr>
          <w:rFonts w:hint="default" w:eastAsia="仿宋_GB2312"/>
          <w:bCs/>
          <w:color w:val="000000"/>
          <w:kern w:val="2"/>
          <w:sz w:val="32"/>
          <w:szCs w:val="32"/>
        </w:rPr>
      </w:pPr>
      <w:r>
        <w:rPr>
          <w:rFonts w:eastAsia="仿宋_GB2312"/>
          <w:bCs/>
          <w:color w:val="000000"/>
          <w:kern w:val="2"/>
          <w:sz w:val="32"/>
          <w:szCs w:val="32"/>
        </w:rPr>
        <w:t>（六）拟订综合性产业发展规划，负责协调第一、二、三产业发展的重大问题并衔接平衡相关发展规划，负责综合交通运输体系规划与国民经济和社会发展规划的衔接平衡；协调农业和农村经济社会发展的重大问题；拟订发展战略性新兴产业规划，负责提出新型工业化和产业集群发展的建议；会同有关部门拟订高新技术产业、服务业发展规划，实施高新技术产业发展的宏观指导，协调解决重大技术装备推广应用等方面的重大问题。</w:t>
      </w:r>
    </w:p>
    <w:p>
      <w:pPr>
        <w:pStyle w:val="4"/>
        <w:spacing w:before="0" w:beforeAutospacing="0" w:after="0" w:afterAutospacing="0" w:line="315" w:lineRule="atLeast"/>
        <w:ind w:firstLine="646"/>
        <w:jc w:val="both"/>
        <w:rPr>
          <w:rFonts w:hint="default" w:eastAsia="仿宋_GB2312"/>
          <w:bCs/>
          <w:color w:val="000000"/>
          <w:kern w:val="2"/>
          <w:sz w:val="32"/>
          <w:szCs w:val="32"/>
        </w:rPr>
      </w:pPr>
      <w:r>
        <w:rPr>
          <w:rFonts w:eastAsia="仿宋_GB2312"/>
          <w:bCs/>
          <w:color w:val="000000"/>
          <w:kern w:val="2"/>
          <w:sz w:val="32"/>
          <w:szCs w:val="32"/>
        </w:rPr>
        <w:t>（七）贯彻落实国家中部崛起、长江经济带开发建设的措施，牵头落实“一带一部”发展战略；组织编制区域规划并协调实施；负责制定统筹促进长株潭城市群协调发展的规划；参与制定全市城镇化发展规划和重大措施；组织编制全市产业园区（功能区）发展规划，制定促进发展的措施；负责产业园区（功能区）综合协调工作。</w:t>
      </w:r>
    </w:p>
    <w:p>
      <w:pPr>
        <w:pStyle w:val="4"/>
        <w:spacing w:before="0" w:beforeAutospacing="0" w:after="0" w:afterAutospacing="0" w:line="315" w:lineRule="atLeast"/>
        <w:ind w:firstLine="646"/>
        <w:jc w:val="both"/>
        <w:rPr>
          <w:rFonts w:hint="default" w:eastAsia="仿宋_GB2312"/>
          <w:bCs/>
          <w:color w:val="000000"/>
          <w:kern w:val="2"/>
          <w:sz w:val="32"/>
          <w:szCs w:val="32"/>
        </w:rPr>
      </w:pPr>
      <w:r>
        <w:rPr>
          <w:rFonts w:eastAsia="仿宋_GB2312"/>
          <w:bCs/>
          <w:color w:val="000000"/>
          <w:kern w:val="2"/>
          <w:sz w:val="32"/>
          <w:szCs w:val="32"/>
        </w:rPr>
        <w:t>（八）拟订社会发展总体规划和年度计划；拟订人口发展规划和年度计划；参与制定科学技术、教育、文化、卫生、民政等发展措施；统筹推进基本公共服务体系建设和收入分配制度改革；负责提出促进就业、完善社会保障与经济协调发展的建议；协调社会事业发展和改革中的重大问题；参与推进深化医药卫生体制改革工作。</w:t>
      </w:r>
    </w:p>
    <w:p>
      <w:pPr>
        <w:pStyle w:val="4"/>
        <w:spacing w:before="0" w:beforeAutospacing="0" w:after="0" w:afterAutospacing="0" w:line="315" w:lineRule="atLeast"/>
        <w:ind w:firstLine="646"/>
        <w:jc w:val="both"/>
        <w:rPr>
          <w:rFonts w:hint="default" w:eastAsia="仿宋_GB2312"/>
          <w:bCs/>
          <w:color w:val="000000"/>
          <w:kern w:val="2"/>
          <w:sz w:val="32"/>
          <w:szCs w:val="32"/>
        </w:rPr>
      </w:pPr>
      <w:r>
        <w:rPr>
          <w:rFonts w:eastAsia="仿宋_GB2312"/>
          <w:bCs/>
          <w:color w:val="000000"/>
          <w:kern w:val="2"/>
          <w:sz w:val="32"/>
          <w:szCs w:val="32"/>
        </w:rPr>
        <w:t>（九）负责拟订全市能源发展战略、规划，统筹协调和优化能源结构；监测分析能源发展状况、运行和市场供求情况，做好全市能源供需总量平衡；提出推进能源体制改革的建议，协调相关重大问题，牵头负责新能源和可再生能源发展工作。</w:t>
      </w:r>
    </w:p>
    <w:p>
      <w:pPr>
        <w:pStyle w:val="4"/>
        <w:spacing w:before="0" w:beforeAutospacing="0" w:after="0" w:afterAutospacing="0" w:line="315" w:lineRule="atLeast"/>
        <w:ind w:firstLine="646"/>
        <w:jc w:val="both"/>
        <w:rPr>
          <w:rFonts w:hint="default" w:eastAsia="仿宋_GB2312"/>
          <w:bCs/>
          <w:color w:val="000000"/>
          <w:kern w:val="2"/>
          <w:sz w:val="32"/>
          <w:szCs w:val="32"/>
        </w:rPr>
      </w:pPr>
      <w:r>
        <w:rPr>
          <w:rFonts w:eastAsia="仿宋_GB2312"/>
          <w:bCs/>
          <w:color w:val="000000"/>
          <w:kern w:val="2"/>
          <w:sz w:val="32"/>
          <w:szCs w:val="32"/>
        </w:rPr>
        <w:t>（十）推动全市生态文明建设和改革，协调生态环境保护与修复、能源资源节约和综合利用等工作；研究提出能源消费总量控制目标的建议，牵头制定能源消费总量控制工作方案并组织实施；组织拟订绿色发展和循环经济、能源资源节约和综合利用规划、措施并协调实施，负责节能监管工作；参与编制生态文明建设、环境保护规划，协调生态建设、能源资源节约和综合利用的重大问题，会同有关部门提出建立健全生态补偿机制措施的建议；综合协调节能环保产业和清洁生产促进有关工作；完善固定资产投资项目节能评估和审查制度。</w:t>
      </w:r>
    </w:p>
    <w:p>
      <w:pPr>
        <w:pStyle w:val="4"/>
        <w:spacing w:before="0" w:beforeAutospacing="0" w:after="0" w:afterAutospacing="0" w:line="315" w:lineRule="atLeast"/>
        <w:ind w:firstLine="646"/>
        <w:jc w:val="both"/>
        <w:rPr>
          <w:rFonts w:hint="default" w:eastAsia="仿宋_GB2312"/>
          <w:bCs/>
          <w:color w:val="000000"/>
          <w:kern w:val="2"/>
          <w:sz w:val="32"/>
          <w:szCs w:val="32"/>
        </w:rPr>
      </w:pPr>
      <w:r>
        <w:rPr>
          <w:rFonts w:eastAsia="仿宋_GB2312"/>
          <w:bCs/>
          <w:color w:val="000000"/>
          <w:kern w:val="2"/>
          <w:sz w:val="32"/>
          <w:szCs w:val="32"/>
        </w:rPr>
        <w:t>（十一）负责制定有关价格改革方案，并负责组织实施；监测、分析市场价格形势，组织实施价格总水平调控；协调和管理全市商品价格（不包括药品）、服务价格（不包括医疗服务）和行政事业性收费；负责对重大自然灾害和特殊时期实施临时价格干预措施；负责价格调节基金统筹管理；负责价格成本调查和监审。</w:t>
      </w:r>
    </w:p>
    <w:p>
      <w:pPr>
        <w:pStyle w:val="4"/>
        <w:spacing w:before="0" w:beforeAutospacing="0" w:after="0" w:afterAutospacing="0" w:line="315" w:lineRule="atLeast"/>
        <w:ind w:firstLine="646"/>
        <w:jc w:val="both"/>
        <w:rPr>
          <w:rFonts w:hint="default" w:eastAsia="仿宋_GB2312"/>
          <w:bCs/>
          <w:color w:val="000000"/>
          <w:kern w:val="2"/>
          <w:sz w:val="32"/>
          <w:szCs w:val="32"/>
        </w:rPr>
      </w:pPr>
      <w:r>
        <w:rPr>
          <w:rFonts w:eastAsia="仿宋_GB2312"/>
          <w:bCs/>
          <w:color w:val="000000"/>
          <w:kern w:val="2"/>
          <w:sz w:val="32"/>
          <w:szCs w:val="32"/>
        </w:rPr>
        <w:t>（十二）负责制定推进社会信用体系建设的规章、规划、措施，统筹推进统一的信用信息平台建设，促进信用信息资源的整合与运用，协调社会信用体系建设的重大问题。</w:t>
      </w:r>
    </w:p>
    <w:p>
      <w:pPr>
        <w:pStyle w:val="4"/>
        <w:spacing w:before="0" w:beforeAutospacing="0" w:after="0" w:afterAutospacing="0" w:line="315" w:lineRule="atLeast"/>
        <w:ind w:firstLine="646"/>
        <w:jc w:val="both"/>
        <w:rPr>
          <w:rFonts w:hint="default" w:eastAsia="仿宋_GB2312"/>
          <w:bCs/>
          <w:color w:val="000000"/>
          <w:kern w:val="2"/>
          <w:sz w:val="32"/>
          <w:szCs w:val="32"/>
        </w:rPr>
      </w:pPr>
      <w:r>
        <w:rPr>
          <w:rFonts w:eastAsia="仿宋_GB2312"/>
          <w:bCs/>
          <w:color w:val="000000"/>
          <w:kern w:val="2"/>
          <w:sz w:val="32"/>
          <w:szCs w:val="32"/>
        </w:rPr>
        <w:t>（十三）负责拟订推进经济建设与国防建设协调发展的战略和规划，协调有关重大问题；组织编制全市国民经济动员和装备动员规划、计划，并组织实施有关工作。</w:t>
      </w:r>
    </w:p>
    <w:p>
      <w:pPr>
        <w:pStyle w:val="4"/>
        <w:spacing w:before="0" w:beforeAutospacing="0" w:after="0" w:afterAutospacing="0" w:line="315" w:lineRule="atLeast"/>
        <w:ind w:firstLine="646"/>
        <w:jc w:val="both"/>
        <w:rPr>
          <w:rFonts w:hint="default" w:eastAsia="仿宋_GB2312"/>
          <w:bCs/>
          <w:color w:val="000000"/>
          <w:kern w:val="2"/>
          <w:sz w:val="32"/>
          <w:szCs w:val="32"/>
        </w:rPr>
      </w:pPr>
      <w:r>
        <w:rPr>
          <w:rFonts w:eastAsia="仿宋_GB2312"/>
          <w:bCs/>
          <w:color w:val="000000"/>
          <w:kern w:val="2"/>
          <w:sz w:val="32"/>
          <w:szCs w:val="32"/>
        </w:rPr>
        <w:t>（十四）牵头整合建立统一规范的公共资源交易平台，指导和协调全市公共资源交易平台建设，监督公共资源交易活动。</w:t>
      </w:r>
    </w:p>
    <w:p>
      <w:pPr>
        <w:pStyle w:val="4"/>
        <w:spacing w:before="0" w:beforeAutospacing="0" w:after="0" w:afterAutospacing="0" w:line="315" w:lineRule="atLeast"/>
        <w:ind w:firstLine="646"/>
        <w:jc w:val="both"/>
        <w:rPr>
          <w:rFonts w:hint="default" w:eastAsia="仿宋_GB2312"/>
          <w:bCs/>
          <w:color w:val="000000"/>
          <w:kern w:val="2"/>
          <w:sz w:val="32"/>
          <w:szCs w:val="32"/>
        </w:rPr>
      </w:pPr>
      <w:r>
        <w:rPr>
          <w:rFonts w:eastAsia="仿宋_GB2312"/>
          <w:bCs/>
          <w:color w:val="000000"/>
          <w:kern w:val="2"/>
          <w:sz w:val="32"/>
          <w:szCs w:val="32"/>
        </w:rPr>
        <w:t>（十五）负责有关行政复议和行政诉讼应诉工作。</w:t>
      </w:r>
    </w:p>
    <w:p>
      <w:pPr>
        <w:pStyle w:val="4"/>
        <w:spacing w:before="0" w:beforeAutospacing="0" w:after="0" w:afterAutospacing="0" w:line="315" w:lineRule="atLeast"/>
        <w:ind w:firstLine="646"/>
        <w:jc w:val="both"/>
        <w:rPr>
          <w:rFonts w:hint="default" w:eastAsia="仿宋_GB2312"/>
          <w:bCs/>
          <w:color w:val="000000"/>
          <w:kern w:val="2"/>
          <w:sz w:val="32"/>
          <w:szCs w:val="32"/>
        </w:rPr>
      </w:pPr>
      <w:r>
        <w:rPr>
          <w:rFonts w:eastAsia="仿宋_GB2312"/>
          <w:bCs/>
          <w:color w:val="000000"/>
          <w:kern w:val="2"/>
          <w:sz w:val="32"/>
          <w:szCs w:val="32"/>
        </w:rPr>
        <w:t>（十六）承办市人民政府交办的其他事项。</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黑体"/>
          <w:color w:val="000000"/>
          <w:sz w:val="32"/>
          <w:szCs w:val="32"/>
        </w:rPr>
      </w:pPr>
      <w:r>
        <w:rPr>
          <w:rFonts w:hAnsi="黑体" w:eastAsia="黑体"/>
          <w:color w:val="000000"/>
          <w:sz w:val="32"/>
          <w:szCs w:val="32"/>
        </w:rPr>
        <w:t>二、机构设置</w:t>
      </w:r>
    </w:p>
    <w:p>
      <w:pPr>
        <w:tabs>
          <w:tab w:val="left" w:pos="7560"/>
        </w:tabs>
        <w:adjustRightInd w:val="0"/>
        <w:snapToGrid w:val="0"/>
        <w:spacing w:line="560" w:lineRule="exact"/>
        <w:ind w:firstLine="640" w:firstLineChars="200"/>
        <w:rPr>
          <w:rFonts w:eastAsia="仿宋_GB2312"/>
          <w:bCs/>
          <w:color w:val="000000"/>
          <w:sz w:val="32"/>
          <w:szCs w:val="32"/>
        </w:rPr>
      </w:pPr>
      <w:r>
        <w:rPr>
          <w:rFonts w:eastAsia="仿宋_GB2312"/>
          <w:bCs/>
          <w:color w:val="000000"/>
          <w:sz w:val="32"/>
          <w:szCs w:val="32"/>
        </w:rPr>
        <w:t> </w:t>
      </w:r>
      <w:r>
        <w:rPr>
          <w:rFonts w:hint="eastAsia" w:eastAsia="仿宋_GB2312"/>
          <w:bCs/>
          <w:color w:val="000000"/>
          <w:sz w:val="32"/>
          <w:szCs w:val="32"/>
        </w:rPr>
        <w:t xml:space="preserve"> 本部门核定编制数47人，实有人数31人。内设股室9个（含1个正科级单位），分别为：办公室、综合规划股、经济发展股、社会发展股、投资管理股、价格收费管理股、计划财务股、区域发展股、基础产业股。 </w:t>
      </w:r>
    </w:p>
    <w:p>
      <w:pPr>
        <w:tabs>
          <w:tab w:val="left" w:pos="7560"/>
        </w:tabs>
        <w:adjustRightInd w:val="0"/>
        <w:snapToGrid w:val="0"/>
        <w:spacing w:line="560" w:lineRule="exact"/>
        <w:ind w:firstLine="640" w:firstLineChars="200"/>
        <w:rPr>
          <w:rFonts w:hint="eastAsia" w:eastAsia="仿宋_GB2312"/>
          <w:bCs/>
          <w:color w:val="000000"/>
          <w:sz w:val="32"/>
          <w:szCs w:val="32"/>
          <w:lang w:eastAsia="zh-CN"/>
        </w:rPr>
      </w:pPr>
      <w:r>
        <w:rPr>
          <w:rFonts w:hint="eastAsia" w:eastAsia="仿宋_GB2312"/>
          <w:bCs/>
          <w:color w:val="000000"/>
          <w:sz w:val="32"/>
          <w:szCs w:val="32"/>
        </w:rPr>
        <w:t xml:space="preserve"> 1个副科级事业单位：醴陵市重点建设项目事务中心。3个正股级事业单位，分别为醴陵市重点项目前期工作中心、醴陵市价格认证中心、醴陵市价格成本调查队。</w:t>
      </w:r>
      <w:r>
        <w:rPr>
          <w:rFonts w:hint="eastAsia" w:eastAsia="仿宋_GB2312"/>
          <w:bCs/>
          <w:color w:val="000000"/>
          <w:sz w:val="32"/>
          <w:szCs w:val="32"/>
          <w:lang w:eastAsia="zh-CN"/>
        </w:rPr>
        <w:t>本部门无下属二级预算单位。</w:t>
      </w:r>
    </w:p>
    <w:p>
      <w:pPr>
        <w:tabs>
          <w:tab w:val="left" w:pos="7560"/>
        </w:tabs>
        <w:adjustRightInd w:val="0"/>
        <w:snapToGrid w:val="0"/>
        <w:spacing w:line="560" w:lineRule="exact"/>
        <w:ind w:firstLine="640" w:firstLineChars="200"/>
        <w:rPr>
          <w:rFonts w:eastAsia="黑体"/>
          <w:color w:val="000000"/>
          <w:sz w:val="32"/>
          <w:szCs w:val="32"/>
        </w:rPr>
      </w:pPr>
      <w:r>
        <w:rPr>
          <w:rFonts w:hAnsi="黑体" w:eastAsia="黑体"/>
          <w:color w:val="000000"/>
          <w:sz w:val="32"/>
          <w:szCs w:val="32"/>
        </w:rPr>
        <w:t>三、</w:t>
      </w:r>
      <w:r>
        <w:rPr>
          <w:rFonts w:eastAsia="黑体"/>
          <w:color w:val="000000"/>
          <w:sz w:val="32"/>
          <w:szCs w:val="32"/>
        </w:rPr>
        <w:t xml:space="preserve"> </w:t>
      </w:r>
      <w:r>
        <w:rPr>
          <w:rFonts w:hAnsi="黑体" w:eastAsia="黑体"/>
          <w:color w:val="000000"/>
          <w:sz w:val="32"/>
          <w:szCs w:val="32"/>
        </w:rPr>
        <w:t>部门收支概况</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2021年部门预算编报范围</w:t>
      </w:r>
      <w:r>
        <w:rPr>
          <w:rFonts w:hint="eastAsia" w:eastAsia="仿宋_GB2312"/>
          <w:color w:val="000000"/>
          <w:sz w:val="32"/>
          <w:szCs w:val="32"/>
          <w:lang w:val="en-US" w:eastAsia="zh-CN"/>
        </w:rPr>
        <w:t>仅</w:t>
      </w:r>
      <w:r>
        <w:rPr>
          <w:rFonts w:eastAsia="仿宋_GB2312"/>
          <w:color w:val="000000"/>
          <w:sz w:val="32"/>
          <w:szCs w:val="32"/>
        </w:rPr>
        <w:t>包括</w:t>
      </w:r>
      <w:r>
        <w:rPr>
          <w:rFonts w:hint="eastAsia" w:eastAsia="仿宋_GB2312"/>
          <w:color w:val="000000"/>
          <w:sz w:val="32"/>
          <w:szCs w:val="32"/>
          <w:lang w:val="en-US" w:eastAsia="zh-CN"/>
        </w:rPr>
        <w:t>本级</w:t>
      </w:r>
      <w:r>
        <w:rPr>
          <w:rFonts w:eastAsia="仿宋_GB2312"/>
          <w:color w:val="000000"/>
          <w:sz w:val="32"/>
          <w:szCs w:val="32"/>
        </w:rPr>
        <w:t>机关</w:t>
      </w:r>
      <w:r>
        <w:rPr>
          <w:rFonts w:hint="eastAsia" w:eastAsia="仿宋_GB2312"/>
          <w:color w:val="000000"/>
          <w:sz w:val="32"/>
          <w:szCs w:val="32"/>
        </w:rPr>
        <w:t>，无下</w:t>
      </w:r>
      <w:r>
        <w:rPr>
          <w:rFonts w:eastAsia="仿宋_GB2312"/>
          <w:color w:val="000000"/>
          <w:sz w:val="32"/>
          <w:szCs w:val="32"/>
        </w:rPr>
        <w:t>属二级预算单位。收入包括一般公共预算</w:t>
      </w:r>
      <w:r>
        <w:rPr>
          <w:rFonts w:hint="eastAsia" w:eastAsia="仿宋_GB2312"/>
          <w:color w:val="000000"/>
          <w:sz w:val="32"/>
          <w:szCs w:val="32"/>
        </w:rPr>
        <w:t>拨款</w:t>
      </w:r>
      <w:r>
        <w:rPr>
          <w:rFonts w:eastAsia="仿宋_GB2312"/>
          <w:color w:val="000000"/>
          <w:sz w:val="32"/>
          <w:szCs w:val="32"/>
        </w:rPr>
        <w:t>收入；支出既包括保障局机关及直属单位基本运行的经费，也包括归口管理、面向全市分配的专项经费。</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1839.33</w:t>
      </w:r>
      <w:r>
        <w:rPr>
          <w:rFonts w:eastAsia="仿宋_GB2312"/>
          <w:color w:val="000000"/>
          <w:sz w:val="32"/>
          <w:szCs w:val="32"/>
        </w:rPr>
        <w:t>万元，其中，一般公共预算拨款</w:t>
      </w:r>
      <w:r>
        <w:rPr>
          <w:rFonts w:hint="eastAsia" w:eastAsia="仿宋_GB2312"/>
          <w:color w:val="000000"/>
          <w:sz w:val="32"/>
          <w:szCs w:val="32"/>
        </w:rPr>
        <w:t>1839.33</w:t>
      </w:r>
      <w:r>
        <w:rPr>
          <w:rFonts w:eastAsia="仿宋_GB2312"/>
          <w:color w:val="000000"/>
          <w:sz w:val="32"/>
          <w:szCs w:val="32"/>
        </w:rPr>
        <w:t>万元；政府性基金拨款</w:t>
      </w:r>
      <w:r>
        <w:rPr>
          <w:rFonts w:hint="eastAsia" w:eastAsia="仿宋_GB2312"/>
          <w:color w:val="000000"/>
          <w:sz w:val="32"/>
          <w:szCs w:val="32"/>
        </w:rPr>
        <w:t>0</w:t>
      </w:r>
      <w:r>
        <w:rPr>
          <w:rFonts w:eastAsia="仿宋_GB2312"/>
          <w:color w:val="000000"/>
          <w:sz w:val="32"/>
          <w:szCs w:val="32"/>
        </w:rPr>
        <w:t>万元；财政专户管理的非税收入拨款</w:t>
      </w:r>
      <w:r>
        <w:rPr>
          <w:rFonts w:hint="eastAsia" w:eastAsia="仿宋_GB2312"/>
          <w:color w:val="000000"/>
          <w:sz w:val="32"/>
          <w:szCs w:val="32"/>
        </w:rPr>
        <w:t>0</w:t>
      </w:r>
      <w:r>
        <w:rPr>
          <w:rFonts w:eastAsia="仿宋_GB2312"/>
          <w:color w:val="000000"/>
          <w:sz w:val="32"/>
          <w:szCs w:val="32"/>
        </w:rPr>
        <w:t>万元；其他收入</w:t>
      </w:r>
      <w:r>
        <w:rPr>
          <w:rFonts w:hint="eastAsia" w:eastAsia="仿宋_GB2312"/>
          <w:color w:val="000000"/>
          <w:sz w:val="32"/>
          <w:szCs w:val="32"/>
        </w:rPr>
        <w:t>0</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1839.33</w:t>
      </w:r>
      <w:r>
        <w:rPr>
          <w:rFonts w:eastAsia="仿宋_GB2312"/>
          <w:color w:val="000000"/>
          <w:sz w:val="32"/>
          <w:szCs w:val="32"/>
        </w:rPr>
        <w:t>万元，其中，一般公共服务支出</w:t>
      </w:r>
      <w:r>
        <w:rPr>
          <w:rFonts w:hint="eastAsia" w:eastAsia="仿宋_GB2312"/>
          <w:color w:val="000000"/>
          <w:sz w:val="32"/>
          <w:szCs w:val="32"/>
        </w:rPr>
        <w:t>1827.89</w:t>
      </w:r>
      <w:r>
        <w:rPr>
          <w:rFonts w:eastAsia="仿宋_GB2312"/>
          <w:color w:val="000000"/>
          <w:sz w:val="32"/>
          <w:szCs w:val="32"/>
        </w:rPr>
        <w:t>万元，</w:t>
      </w:r>
      <w:r>
        <w:rPr>
          <w:rFonts w:hint="eastAsia" w:eastAsia="仿宋_GB2312"/>
          <w:color w:val="000000"/>
          <w:sz w:val="32"/>
          <w:szCs w:val="32"/>
        </w:rPr>
        <w:t>卫生健康支出11.44万元</w:t>
      </w:r>
      <w:r>
        <w:rPr>
          <w:rFonts w:eastAsia="仿宋_GB2312"/>
          <w:color w:val="000000"/>
          <w:sz w:val="32"/>
          <w:szCs w:val="32"/>
        </w:rPr>
        <w:t>。</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361.33</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w:t>
      </w:r>
    </w:p>
    <w:p>
      <w:pPr>
        <w:tabs>
          <w:tab w:val="left" w:pos="7560"/>
        </w:tabs>
        <w:adjustRightInd w:val="0"/>
        <w:snapToGrid w:val="0"/>
        <w:spacing w:line="560" w:lineRule="exact"/>
        <w:ind w:firstLine="643" w:firstLineChars="200"/>
        <w:rPr>
          <w:rFonts w:eastAsia="仿宋_GB2312"/>
          <w:color w:val="000000"/>
          <w:sz w:val="32"/>
          <w:szCs w:val="32"/>
        </w:rPr>
      </w:pPr>
      <w:bookmarkStart w:id="0" w:name="_GoBack"/>
      <w:bookmarkEnd w:id="0"/>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1478</w:t>
      </w:r>
      <w:r>
        <w:rPr>
          <w:rFonts w:eastAsia="仿宋_GB2312"/>
          <w:color w:val="000000"/>
          <w:sz w:val="32"/>
          <w:szCs w:val="32"/>
        </w:rPr>
        <w:t>万元，是指单位为完成特定行政工作任务或事业发展目标而发生的支出，包括有关事业发展专项、基本建设支出、资本性支出等。其中：</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项目策划及项目前期费用</w:t>
      </w:r>
      <w:r>
        <w:rPr>
          <w:rFonts w:eastAsia="仿宋_GB2312"/>
          <w:color w:val="000000"/>
          <w:sz w:val="32"/>
          <w:szCs w:val="32"/>
        </w:rPr>
        <w:t>专项</w:t>
      </w:r>
      <w:r>
        <w:rPr>
          <w:rFonts w:hint="eastAsia" w:eastAsia="仿宋_GB2312"/>
          <w:color w:val="000000"/>
          <w:sz w:val="32"/>
          <w:szCs w:val="32"/>
        </w:rPr>
        <w:t>80</w:t>
      </w:r>
      <w:r>
        <w:rPr>
          <w:rFonts w:eastAsia="仿宋_GB2312"/>
          <w:color w:val="000000"/>
          <w:sz w:val="32"/>
          <w:szCs w:val="32"/>
        </w:rPr>
        <w:t>万元。</w:t>
      </w:r>
      <w:r>
        <w:rPr>
          <w:rFonts w:hint="eastAsia" w:eastAsia="仿宋_GB2312"/>
          <w:color w:val="000000"/>
          <w:sz w:val="32"/>
          <w:szCs w:val="32"/>
        </w:rPr>
        <w:t>主要用于向上级发改部门争取项目资金，做好已申报项目的实施；做好重大项目前期准备工作，争取及时转化为建设项目。</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立项审查</w:t>
      </w:r>
      <w:r>
        <w:rPr>
          <w:rFonts w:eastAsia="仿宋_GB2312"/>
          <w:color w:val="000000"/>
          <w:sz w:val="32"/>
          <w:szCs w:val="32"/>
        </w:rPr>
        <w:t>专项</w:t>
      </w:r>
      <w:r>
        <w:rPr>
          <w:rFonts w:hint="eastAsia" w:eastAsia="仿宋_GB2312"/>
          <w:color w:val="000000"/>
          <w:sz w:val="32"/>
          <w:szCs w:val="32"/>
        </w:rPr>
        <w:t>100</w:t>
      </w:r>
      <w:r>
        <w:rPr>
          <w:rFonts w:eastAsia="仿宋_GB2312"/>
          <w:color w:val="000000"/>
          <w:sz w:val="32"/>
          <w:szCs w:val="32"/>
        </w:rPr>
        <w:t>万元。主要用于</w:t>
      </w:r>
      <w:r>
        <w:rPr>
          <w:rFonts w:hint="eastAsia" w:eastAsia="仿宋_GB2312"/>
          <w:color w:val="000000"/>
          <w:sz w:val="32"/>
          <w:szCs w:val="32"/>
        </w:rPr>
        <w:t>规范政府投资项目概算调整和工程变更行为，处置好存量超概算政府投资项目历史遗留问题，实现政府投资经济效益、社会效益最大化。</w:t>
      </w:r>
    </w:p>
    <w:p>
      <w:pPr>
        <w:tabs>
          <w:tab w:val="left" w:pos="7560"/>
        </w:tabs>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（3）发改局上级专项转移支付1298万元。主要用于完成基本建设项目 。</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rPr>
        <w:t>1839.33</w:t>
      </w:r>
      <w:r>
        <w:rPr>
          <w:rFonts w:eastAsia="仿宋_GB2312"/>
          <w:color w:val="000000"/>
          <w:sz w:val="32"/>
          <w:szCs w:val="32"/>
        </w:rPr>
        <w:t>万元，比上年增加</w:t>
      </w:r>
      <w:r>
        <w:rPr>
          <w:rFonts w:hint="eastAsia" w:eastAsia="仿宋_GB2312"/>
          <w:color w:val="000000"/>
          <w:sz w:val="32"/>
          <w:szCs w:val="32"/>
        </w:rPr>
        <w:t>74.90</w:t>
      </w:r>
      <w:r>
        <w:rPr>
          <w:rFonts w:eastAsia="仿宋_GB2312"/>
          <w:color w:val="000000"/>
          <w:sz w:val="32"/>
          <w:szCs w:val="32"/>
        </w:rPr>
        <w:t>万元，主要原因是</w:t>
      </w:r>
      <w:r>
        <w:rPr>
          <w:rFonts w:hint="eastAsia" w:eastAsia="仿宋_GB2312"/>
          <w:color w:val="000000"/>
          <w:sz w:val="32"/>
          <w:szCs w:val="32"/>
        </w:rPr>
        <w:t>人</w:t>
      </w:r>
      <w:r>
        <w:rPr>
          <w:rFonts w:eastAsia="仿宋_GB2312"/>
          <w:color w:val="000000"/>
          <w:sz w:val="32"/>
          <w:szCs w:val="32"/>
        </w:rPr>
        <w:t>员增加</w:t>
      </w:r>
      <w:r>
        <w:rPr>
          <w:rFonts w:hint="eastAsia" w:eastAsia="仿宋_GB2312"/>
          <w:color w:val="000000"/>
          <w:sz w:val="32"/>
          <w:szCs w:val="32"/>
        </w:rPr>
        <w:t>和工作任务增加等</w:t>
      </w:r>
      <w:r>
        <w:rPr>
          <w:rFonts w:eastAsia="仿宋_GB2312"/>
          <w:color w:val="000000"/>
          <w:sz w:val="32"/>
          <w:szCs w:val="32"/>
        </w:rPr>
        <w:t>，造成人员经费和运转经费上涨</w:t>
      </w:r>
      <w:r>
        <w:rPr>
          <w:rFonts w:hint="eastAsia" w:eastAsia="仿宋_GB2312"/>
          <w:color w:val="000000"/>
          <w:sz w:val="32"/>
          <w:szCs w:val="32"/>
        </w:rPr>
        <w:t>。</w:t>
      </w:r>
    </w:p>
    <w:p>
      <w:pPr>
        <w:tabs>
          <w:tab w:val="left" w:pos="7560"/>
        </w:tabs>
        <w:adjustRightInd w:val="0"/>
        <w:snapToGrid w:val="0"/>
        <w:spacing w:line="560" w:lineRule="exact"/>
        <w:ind w:firstLine="640" w:firstLineChars="200"/>
        <w:rPr>
          <w:rFonts w:eastAsia="黑体"/>
          <w:color w:val="000000"/>
          <w:sz w:val="32"/>
          <w:szCs w:val="32"/>
        </w:rPr>
      </w:pPr>
      <w:r>
        <w:rPr>
          <w:rFonts w:hAnsi="黑体" w:eastAsia="黑体"/>
          <w:color w:val="000000"/>
          <w:sz w:val="32"/>
          <w:szCs w:val="32"/>
        </w:rPr>
        <w:t>四、其他重要事项情况说明</w:t>
      </w:r>
    </w:p>
    <w:p>
      <w:pPr>
        <w:tabs>
          <w:tab w:val="left" w:pos="7560"/>
        </w:tabs>
        <w:adjustRightInd w:val="0"/>
        <w:snapToGrid w:val="0"/>
        <w:spacing w:line="560" w:lineRule="exact"/>
        <w:ind w:firstLine="640" w:firstLineChars="200"/>
        <w:rPr>
          <w:rFonts w:eastAsia="仿宋_GB2312"/>
          <w:bCs/>
          <w:color w:val="000000"/>
          <w:sz w:val="32"/>
          <w:szCs w:val="32"/>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年年初预算机关运行经费共安排</w:t>
      </w:r>
      <w:r>
        <w:rPr>
          <w:rFonts w:hint="eastAsia" w:eastAsia="仿宋_GB2312"/>
          <w:sz w:val="32"/>
          <w:szCs w:val="32"/>
        </w:rPr>
        <w:t>110.38</w:t>
      </w:r>
      <w:r>
        <w:rPr>
          <w:rFonts w:eastAsia="仿宋_GB2312"/>
          <w:color w:val="000000"/>
          <w:sz w:val="32"/>
          <w:szCs w:val="32"/>
        </w:rPr>
        <w:t>万元，比上年度预算</w:t>
      </w:r>
      <w:r>
        <w:rPr>
          <w:rFonts w:hint="eastAsia" w:eastAsia="仿宋_GB2312"/>
          <w:color w:val="000000"/>
          <w:sz w:val="32"/>
          <w:szCs w:val="32"/>
        </w:rPr>
        <w:t>增加</w:t>
      </w:r>
      <w:r>
        <w:rPr>
          <w:rFonts w:hint="eastAsia" w:eastAsia="仿宋_GB2312"/>
          <w:color w:val="FF0000"/>
          <w:sz w:val="32"/>
          <w:szCs w:val="32"/>
        </w:rPr>
        <w:t xml:space="preserve"> </w:t>
      </w:r>
      <w:r>
        <w:rPr>
          <w:rFonts w:hint="eastAsia" w:eastAsia="仿宋_GB2312"/>
          <w:sz w:val="32"/>
          <w:szCs w:val="32"/>
        </w:rPr>
        <w:t>8.88</w:t>
      </w:r>
      <w:r>
        <w:rPr>
          <w:rFonts w:eastAsia="仿宋_GB2312"/>
          <w:color w:val="000000"/>
          <w:sz w:val="32"/>
          <w:szCs w:val="32"/>
        </w:rPr>
        <w:t>万元，</w:t>
      </w:r>
      <w:r>
        <w:rPr>
          <w:rFonts w:hint="eastAsia" w:eastAsia="仿宋_GB2312"/>
          <w:bCs/>
          <w:color w:val="000000"/>
          <w:sz w:val="32"/>
          <w:szCs w:val="32"/>
        </w:rPr>
        <w:t>增加</w:t>
      </w:r>
      <w:r>
        <w:rPr>
          <w:rFonts w:eastAsia="仿宋_GB2312"/>
          <w:bCs/>
          <w:color w:val="000000"/>
          <w:sz w:val="32"/>
          <w:szCs w:val="32"/>
        </w:rPr>
        <w:t>的主要原因是：</w:t>
      </w:r>
      <w:r>
        <w:rPr>
          <w:rFonts w:hint="eastAsia" w:eastAsia="仿宋_GB2312"/>
          <w:bCs/>
          <w:color w:val="000000"/>
          <w:sz w:val="32"/>
          <w:szCs w:val="32"/>
        </w:rPr>
        <w:t>两型办、重点办合并入发改局，工作任务加大，机关运行经费增加。</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sz w:val="32"/>
          <w:szCs w:val="32"/>
        </w:rPr>
        <w:t>（二)政府采购预算：</w:t>
      </w:r>
      <w:r>
        <w:rPr>
          <w:rFonts w:hint="eastAsia" w:eastAsia="仿宋_GB2312"/>
          <w:color w:val="000000"/>
          <w:sz w:val="32"/>
          <w:szCs w:val="32"/>
        </w:rPr>
        <w:t>2021</w:t>
      </w:r>
      <w:r>
        <w:rPr>
          <w:rFonts w:eastAsia="仿宋_GB2312"/>
          <w:color w:val="000000"/>
          <w:sz w:val="32"/>
          <w:szCs w:val="32"/>
        </w:rPr>
        <w:t>年年初预算数为272.60万元。包含：货物类37.10万元、服务类235.50万元。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年12月31日，本部门共有办公及业务用房1243.45平方米；车辆0辆，其中一般公务用车0辆、一般执法执勤用车0辆、货币化用车0辆；单位价值200万以上大型设备0套。202</w:t>
      </w:r>
      <w:r>
        <w:rPr>
          <w:rFonts w:hint="eastAsia" w:eastAsia="仿宋_GB2312"/>
          <w:color w:val="000000"/>
          <w:sz w:val="32"/>
          <w:szCs w:val="32"/>
        </w:rPr>
        <w:t>1</w:t>
      </w:r>
      <w:r>
        <w:rPr>
          <w:rFonts w:eastAsia="仿宋_GB2312"/>
          <w:color w:val="000000"/>
          <w:sz w:val="32"/>
          <w:szCs w:val="32"/>
        </w:rPr>
        <w:t>年部门预算安排购置车辆0辆，预算安排购置价值200万以上大型设备0套。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年部门整体支出绩效目标的金额为 1839.33万元，其中，基本支出361.33万元，项目支出   1478万元。 </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年“三公”经费预算数3万元，其中：公务接待费3万元、公务用车购置费0万元，公务用车运行费0万元、因公出国（境）费0万元。20</w:t>
      </w:r>
      <w:r>
        <w:rPr>
          <w:rFonts w:hint="eastAsia" w:eastAsia="仿宋_GB2312"/>
          <w:color w:val="000000"/>
          <w:sz w:val="32"/>
          <w:szCs w:val="32"/>
        </w:rPr>
        <w:t>21</w:t>
      </w:r>
      <w:r>
        <w:rPr>
          <w:rFonts w:eastAsia="仿宋_GB2312"/>
          <w:color w:val="000000"/>
          <w:sz w:val="32"/>
          <w:szCs w:val="32"/>
        </w:rPr>
        <w:t>年公务用车购置数0台</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年“三公”经费预算数比20</w:t>
      </w:r>
      <w:r>
        <w:rPr>
          <w:rFonts w:hint="eastAsia" w:eastAsia="仿宋_GB2312"/>
          <w:color w:val="000000"/>
          <w:sz w:val="32"/>
          <w:szCs w:val="32"/>
        </w:rPr>
        <w:t>20</w:t>
      </w:r>
      <w:r>
        <w:rPr>
          <w:rFonts w:eastAsia="仿宋_GB2312"/>
          <w:color w:val="000000"/>
          <w:sz w:val="32"/>
          <w:szCs w:val="32"/>
        </w:rPr>
        <w:t>年持平</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（六）会议费、培训费预算：</w:t>
      </w:r>
    </w:p>
    <w:p>
      <w:pPr>
        <w:spacing w:line="520" w:lineRule="exact"/>
        <w:ind w:firstLine="640"/>
        <w:rPr>
          <w:rFonts w:eastAsia="仿宋_GB2312"/>
          <w:color w:val="000000"/>
          <w:sz w:val="32"/>
          <w:szCs w:val="32"/>
        </w:rPr>
      </w:pPr>
      <w:r>
        <w:rPr>
          <w:rFonts w:hint="eastAsia" w:eastAsia="仿宋_GB2312"/>
          <w:color w:val="000000"/>
          <w:sz w:val="32"/>
          <w:szCs w:val="32"/>
        </w:rPr>
        <w:t>2021年预算安排会议费6万元，主要是十四五专项规划会议，会议涉及物流、产业高质量发展、区域经济发展等，参与人次约为1000人次，预算费用约2万元；“产业项目建设年”会议，会议涉及产业项目建设年动员会、项目推进会、项目调度会、“双比双看”季度推进会、“双比双看”调度会等，会议涉及人次约为700人次，预算费用约为2万元，其他会议预算费用2万元等。</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仿宋_GB2312"/>
          <w:color w:val="000000"/>
          <w:sz w:val="32"/>
          <w:szCs w:val="32"/>
        </w:rPr>
        <w:t>2021年预算安排培训费2万元，主要包括湘赣边区域合作培训涉及发展地区经济，坚持高质量发展等，预算经费约为0.5万元；政府投资项目审批培训涉及有力有序推动重大项目加快建设等，预算经费约为0.5万元；其他培训预算经费约1万元。</w:t>
      </w:r>
    </w:p>
    <w:p>
      <w:pPr>
        <w:numPr>
          <w:ilvl w:val="0"/>
          <w:numId w:val="1"/>
        </w:num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其他事项</w:t>
      </w:r>
    </w:p>
    <w:p>
      <w:pPr>
        <w:tabs>
          <w:tab w:val="left" w:pos="7560"/>
        </w:tabs>
        <w:adjustRightInd w:val="0"/>
        <w:snapToGrid w:val="0"/>
        <w:spacing w:line="560" w:lineRule="exact"/>
        <w:ind w:firstLine="640" w:firstLineChars="200"/>
        <w:rPr>
          <w:rFonts w:hint="eastAsia" w:eastAsia="仿宋_GB2312"/>
          <w:color w:val="000000"/>
          <w:sz w:val="32"/>
          <w:szCs w:val="32"/>
          <w:lang w:eastAsia="zh-CN"/>
        </w:rPr>
      </w:pPr>
      <w:r>
        <w:rPr>
          <w:rFonts w:eastAsia="仿宋_GB2312"/>
          <w:color w:val="000000"/>
          <w:sz w:val="32"/>
          <w:szCs w:val="32"/>
        </w:rPr>
        <w:t>本单位20</w:t>
      </w:r>
      <w:r>
        <w:rPr>
          <w:rFonts w:hint="eastAsia" w:eastAsia="仿宋_GB2312"/>
          <w:color w:val="000000"/>
          <w:sz w:val="32"/>
          <w:szCs w:val="32"/>
          <w:lang w:val="en-US" w:eastAsia="zh-CN"/>
        </w:rPr>
        <w:t>21</w:t>
      </w:r>
      <w:r>
        <w:rPr>
          <w:rFonts w:eastAsia="仿宋_GB2312"/>
          <w:color w:val="000000"/>
          <w:sz w:val="32"/>
          <w:szCs w:val="32"/>
        </w:rPr>
        <w:t>年预算未安排政府性基金预算；未安排纳入专户管理的非税收入拨款预算。</w:t>
      </w:r>
      <w:r>
        <w:rPr>
          <w:rFonts w:hint="eastAsia" w:eastAsia="仿宋_GB2312"/>
          <w:color w:val="000000"/>
          <w:sz w:val="32"/>
          <w:szCs w:val="32"/>
          <w:lang w:eastAsia="zh-CN"/>
        </w:rPr>
        <w:t>本部门无门户网站，已在政府网站统一公开。</w:t>
      </w:r>
    </w:p>
    <w:p>
      <w:pPr>
        <w:tabs>
          <w:tab w:val="left" w:pos="7560"/>
        </w:tabs>
        <w:adjustRightInd w:val="0"/>
        <w:snapToGrid w:val="0"/>
        <w:spacing w:line="560" w:lineRule="exact"/>
        <w:ind w:firstLine="643" w:firstLineChars="200"/>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rPr>
          <w:rFonts w:hint="eastAsia" w:eastAsia="仿宋_GB2312"/>
          <w:sz w:val="32"/>
          <w:szCs w:val="32"/>
          <w:lang w:eastAsia="zh-CN"/>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BB2129"/>
    <w:multiLevelType w:val="singleLevel"/>
    <w:tmpl w:val="E6BB2129"/>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val="1"/>
  <w:bordersDoNotSurroundFooter w:val="1"/>
  <w:documentProtection w:enforcement="0"/>
  <w:defaultTabStop w:val="720"/>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yZTAzMzIxNTIwMjkyMDkzNzMzNmJkY2EyMDE2NDQifQ=="/>
  </w:docVars>
  <w:rsids>
    <w:rsidRoot w:val="00D84058"/>
    <w:rsid w:val="000E1F68"/>
    <w:rsid w:val="00323B43"/>
    <w:rsid w:val="003D37D8"/>
    <w:rsid w:val="004358AB"/>
    <w:rsid w:val="005553BA"/>
    <w:rsid w:val="006464CA"/>
    <w:rsid w:val="0077734D"/>
    <w:rsid w:val="008B7726"/>
    <w:rsid w:val="00B221AD"/>
    <w:rsid w:val="00CB1E75"/>
    <w:rsid w:val="00D84058"/>
    <w:rsid w:val="00E315E9"/>
    <w:rsid w:val="00F54407"/>
    <w:rsid w:val="00F61DE8"/>
    <w:rsid w:val="00FE175F"/>
    <w:rsid w:val="01301A31"/>
    <w:rsid w:val="043B7ECC"/>
    <w:rsid w:val="066E06CE"/>
    <w:rsid w:val="067F3B14"/>
    <w:rsid w:val="08064241"/>
    <w:rsid w:val="09D04097"/>
    <w:rsid w:val="0B5657DF"/>
    <w:rsid w:val="0D3D1952"/>
    <w:rsid w:val="11E709F4"/>
    <w:rsid w:val="17E14E55"/>
    <w:rsid w:val="192F12BE"/>
    <w:rsid w:val="195F60B3"/>
    <w:rsid w:val="1FD51484"/>
    <w:rsid w:val="28916B46"/>
    <w:rsid w:val="2A535AD5"/>
    <w:rsid w:val="2B277D5B"/>
    <w:rsid w:val="2C8F3F43"/>
    <w:rsid w:val="2CB00BBF"/>
    <w:rsid w:val="2E084869"/>
    <w:rsid w:val="2E41615C"/>
    <w:rsid w:val="342A7108"/>
    <w:rsid w:val="3C323AEE"/>
    <w:rsid w:val="3C8D4672"/>
    <w:rsid w:val="3D142C6E"/>
    <w:rsid w:val="479954ED"/>
    <w:rsid w:val="49644C12"/>
    <w:rsid w:val="54906CFD"/>
    <w:rsid w:val="54CA31BA"/>
    <w:rsid w:val="56B03A9B"/>
    <w:rsid w:val="571B7CCD"/>
    <w:rsid w:val="57FB5186"/>
    <w:rsid w:val="5EEA7C2C"/>
    <w:rsid w:val="5FCB3948"/>
    <w:rsid w:val="60DF5ACE"/>
    <w:rsid w:val="624C1AD3"/>
    <w:rsid w:val="65666F26"/>
    <w:rsid w:val="68520CA4"/>
    <w:rsid w:val="70AA274D"/>
    <w:rsid w:val="70FF7124"/>
    <w:rsid w:val="712062E5"/>
    <w:rsid w:val="77566C6D"/>
    <w:rsid w:val="77C343FF"/>
    <w:rsid w:val="7B9D3C3F"/>
    <w:rsid w:val="7BC46E6D"/>
    <w:rsid w:val="7CA66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spacing w:before="100" w:beforeAutospacing="1" w:after="100" w:afterAutospacing="1"/>
      <w:jc w:val="left"/>
    </w:pPr>
    <w:rPr>
      <w:rFonts w:hint="eastAsia"/>
      <w:kern w:val="0"/>
      <w:sz w:val="24"/>
    </w:rPr>
  </w:style>
  <w:style w:type="character" w:customStyle="1" w:styleId="7">
    <w:name w:val="页眉 Char"/>
    <w:basedOn w:val="6"/>
    <w:link w:val="3"/>
    <w:semiHidden/>
    <w:qFormat/>
    <w:uiPriority w:val="99"/>
    <w:rPr>
      <w:rFonts w:ascii="Times New Roman" w:hAnsi="Times New Roman" w:eastAsia="宋体" w:cs="Times New Roman"/>
      <w:kern w:val="2"/>
      <w:sz w:val="18"/>
      <w:szCs w:val="18"/>
    </w:rPr>
  </w:style>
  <w:style w:type="character" w:customStyle="1" w:styleId="8">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631660-5984-45B5-9B50-F3904F69D360}">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4734</Words>
  <Characters>4948</Characters>
  <Lines>2</Lines>
  <Paragraphs>10</Paragraphs>
  <TotalTime>2</TotalTime>
  <ScaleCrop>false</ScaleCrop>
  <LinksUpToDate>false</LinksUpToDate>
  <CharactersWithSpaces>4969</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q</cp:lastModifiedBy>
  <cp:lastPrinted>2021-03-29T02:31:00Z</cp:lastPrinted>
  <dcterms:modified xsi:type="dcterms:W3CDTF">2022-09-12T12:43:13Z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F0F96C0E76F14142A73EE3CA7CBCDCE1</vt:lpwstr>
  </property>
</Properties>
</file>